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16" w:rsidRPr="00E9431E" w:rsidRDefault="00136B7C" w:rsidP="00136B7C">
      <w:pPr>
        <w:jc w:val="center"/>
        <w:rPr>
          <w:b/>
        </w:rPr>
      </w:pPr>
      <w:r w:rsidRPr="00E9431E">
        <w:rPr>
          <w:b/>
        </w:rPr>
        <w:t>ASTHMA PHENOTYPE ALGORITHM</w:t>
      </w:r>
    </w:p>
    <w:p w:rsidR="0069662C" w:rsidRPr="003E4822" w:rsidRDefault="0069662C" w:rsidP="00136B7C">
      <w:pPr>
        <w:jc w:val="center"/>
        <w:rPr>
          <w:b/>
          <w:sz w:val="24"/>
          <w:szCs w:val="24"/>
        </w:rPr>
      </w:pPr>
    </w:p>
    <w:p w:rsidR="00136B7C" w:rsidRPr="003E4822" w:rsidRDefault="00136B7C" w:rsidP="00136B7C">
      <w:pPr>
        <w:spacing w:after="0" w:line="240" w:lineRule="auto"/>
        <w:rPr>
          <w:b/>
        </w:rPr>
      </w:pPr>
      <w:r w:rsidRPr="003E4822">
        <w:rPr>
          <w:b/>
        </w:rPr>
        <w:t>Background:</w:t>
      </w:r>
    </w:p>
    <w:p w:rsidR="00136B7C" w:rsidRDefault="003E4822" w:rsidP="00C00546">
      <w:pPr>
        <w:spacing w:after="0" w:line="24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3E4822">
        <w:rPr>
          <w:sz w:val="20"/>
          <w:szCs w:val="20"/>
        </w:rPr>
        <w:t xml:space="preserve">Asthma is </w:t>
      </w:r>
      <w:hyperlink r:id="rId6" w:tooltip="Chronic (medicine)" w:history="1">
        <w:r w:rsidR="00136B7C" w:rsidRPr="003E4822">
          <w:rPr>
            <w:rStyle w:val="Hyperlink"/>
            <w:rFonts w:cs="Arial"/>
            <w:color w:val="auto"/>
            <w:sz w:val="20"/>
            <w:szCs w:val="20"/>
            <w:u w:val="none"/>
            <w:shd w:val="clear" w:color="auto" w:fill="FFFFFF"/>
          </w:rPr>
          <w:t>chronic</w:t>
        </w:r>
      </w:hyperlink>
      <w:r w:rsidR="00136B7C" w:rsidRPr="003E482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="00136B7C" w:rsidRPr="003E4822">
        <w:rPr>
          <w:rFonts w:cs="Arial"/>
          <w:sz w:val="20"/>
          <w:szCs w:val="20"/>
          <w:shd w:val="clear" w:color="auto" w:fill="FFFFFF"/>
        </w:rPr>
        <w:t>inflammatory</w:t>
      </w:r>
      <w:r w:rsidR="00136B7C" w:rsidRPr="003E482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hyperlink r:id="rId7" w:tooltip="Disease" w:history="1">
        <w:r w:rsidR="00136B7C" w:rsidRPr="003E4822">
          <w:rPr>
            <w:rStyle w:val="Hyperlink"/>
            <w:rFonts w:cs="Arial"/>
            <w:color w:val="auto"/>
            <w:sz w:val="20"/>
            <w:szCs w:val="20"/>
            <w:u w:val="none"/>
            <w:shd w:val="clear" w:color="auto" w:fill="FFFFFF"/>
          </w:rPr>
          <w:t>disease</w:t>
        </w:r>
      </w:hyperlink>
      <w:r w:rsidR="00136B7C" w:rsidRPr="003E482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="00136B7C" w:rsidRPr="003E4822">
        <w:rPr>
          <w:rFonts w:cs="Arial"/>
          <w:sz w:val="20"/>
          <w:szCs w:val="20"/>
          <w:shd w:val="clear" w:color="auto" w:fill="FFFFFF"/>
        </w:rPr>
        <w:t>of the</w:t>
      </w:r>
      <w:r w:rsidR="00136B7C" w:rsidRPr="003E482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hyperlink r:id="rId8" w:tooltip="Bronchi" w:history="1">
        <w:r w:rsidR="00136B7C" w:rsidRPr="003E4822">
          <w:rPr>
            <w:rStyle w:val="Hyperlink"/>
            <w:rFonts w:cs="Arial"/>
            <w:color w:val="auto"/>
            <w:sz w:val="20"/>
            <w:szCs w:val="20"/>
            <w:u w:val="none"/>
            <w:shd w:val="clear" w:color="auto" w:fill="FFFFFF"/>
          </w:rPr>
          <w:t>airways</w:t>
        </w:r>
      </w:hyperlink>
      <w:r w:rsidR="00136B7C" w:rsidRPr="003E482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="00DA125C" w:rsidRPr="003E4822">
        <w:rPr>
          <w:rStyle w:val="apple-converted-space"/>
          <w:rFonts w:cs="Arial"/>
          <w:sz w:val="20"/>
          <w:szCs w:val="20"/>
          <w:shd w:val="clear" w:color="auto" w:fill="FFFFFF"/>
        </w:rPr>
        <w:t>characterized by airway inflammation, reversible airflow obstruction and bro</w:t>
      </w:r>
      <w:r w:rsidR="000627A5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nchial </w:t>
      </w:r>
      <w:proofErr w:type="spellStart"/>
      <w:r w:rsidR="000627A5">
        <w:rPr>
          <w:rStyle w:val="apple-converted-space"/>
          <w:rFonts w:cs="Arial"/>
          <w:sz w:val="20"/>
          <w:szCs w:val="20"/>
          <w:shd w:val="clear" w:color="auto" w:fill="FFFFFF"/>
        </w:rPr>
        <w:t>hyperresponsiveness</w:t>
      </w:r>
      <w:proofErr w:type="spellEnd"/>
      <w:r w:rsidR="000627A5">
        <w:rPr>
          <w:rStyle w:val="apple-converted-space"/>
          <w:rFonts w:cs="Arial"/>
          <w:sz w:val="20"/>
          <w:szCs w:val="20"/>
          <w:shd w:val="clear" w:color="auto" w:fill="FFFFFF"/>
        </w:rPr>
        <w:t>.  It i</w:t>
      </w:r>
      <w:r w:rsidR="00DA125C" w:rsidRPr="003E4822">
        <w:rPr>
          <w:rStyle w:val="apple-converted-space"/>
          <w:rFonts w:cs="Arial"/>
          <w:sz w:val="20"/>
          <w:szCs w:val="20"/>
          <w:shd w:val="clear" w:color="auto" w:fill="FFFFFF"/>
        </w:rPr>
        <w:t>s a complex disease caused by environmental and genetic factors.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 </w:t>
      </w:r>
      <w:r w:rsidRPr="003E4822">
        <w:rPr>
          <w:rStyle w:val="apple-converted-space"/>
          <w:rFonts w:cs="Arial"/>
          <w:sz w:val="20"/>
          <w:szCs w:val="20"/>
          <w:shd w:val="clear" w:color="auto" w:fill="FFFFFF"/>
        </w:rPr>
        <w:t>An estimated 25.9 million people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in </w:t>
      </w:r>
      <w:r w:rsidR="000627A5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the 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>United State</w:t>
      </w:r>
      <w:r w:rsidR="000627A5">
        <w:rPr>
          <w:rStyle w:val="apple-converted-space"/>
          <w:rFonts w:cs="Arial"/>
          <w:sz w:val="20"/>
          <w:szCs w:val="20"/>
          <w:shd w:val="clear" w:color="auto" w:fill="FFFFFF"/>
        </w:rPr>
        <w:t>s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have asthma, including </w:t>
      </w:r>
      <w:r w:rsidR="007B2D16">
        <w:rPr>
          <w:rStyle w:val="apple-converted-space"/>
          <w:rFonts w:cs="Arial"/>
          <w:sz w:val="20"/>
          <w:szCs w:val="20"/>
          <w:shd w:val="clear" w:color="auto" w:fill="FFFFFF"/>
        </w:rPr>
        <w:t>approximately 7 million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children.</w:t>
      </w:r>
    </w:p>
    <w:p w:rsidR="00FA2386" w:rsidRDefault="00FA2386" w:rsidP="00FA2386">
      <w:pPr>
        <w:spacing w:after="0" w:line="24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:rsidR="00FA2386" w:rsidRDefault="00FA2386" w:rsidP="00FA2386">
      <w:pPr>
        <w:spacing w:after="0" w:line="24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:rsidR="00FA2386" w:rsidRDefault="00FA2386" w:rsidP="00FA2386">
      <w:pPr>
        <w:spacing w:after="0" w:line="240" w:lineRule="auto"/>
        <w:rPr>
          <w:b/>
        </w:rPr>
      </w:pPr>
      <w:r>
        <w:rPr>
          <w:b/>
        </w:rPr>
        <w:t>Cases:</w:t>
      </w:r>
    </w:p>
    <w:p w:rsidR="00385CB1" w:rsidRPr="00385CB1" w:rsidRDefault="00385CB1" w:rsidP="00385CB1">
      <w:pPr>
        <w:spacing w:after="0" w:line="240" w:lineRule="auto"/>
        <w:rPr>
          <w:sz w:val="20"/>
          <w:szCs w:val="20"/>
        </w:rPr>
      </w:pPr>
      <w:r w:rsidRPr="00385CB1">
        <w:rPr>
          <w:sz w:val="20"/>
          <w:szCs w:val="20"/>
        </w:rPr>
        <w:t>Cases are defined by a</w:t>
      </w:r>
      <w:r>
        <w:rPr>
          <w:sz w:val="20"/>
          <w:szCs w:val="20"/>
        </w:rPr>
        <w:t xml:space="preserve"> </w:t>
      </w:r>
      <w:r w:rsidRPr="00385CB1">
        <w:rPr>
          <w:sz w:val="20"/>
          <w:szCs w:val="20"/>
        </w:rPr>
        <w:t>diagnostic history of one or more relevant asthma medication</w:t>
      </w:r>
      <w:r w:rsidR="001260B1">
        <w:rPr>
          <w:sz w:val="20"/>
          <w:szCs w:val="20"/>
        </w:rPr>
        <w:t>s</w:t>
      </w:r>
      <w:r w:rsidRPr="00385CB1">
        <w:rPr>
          <w:sz w:val="20"/>
          <w:szCs w:val="20"/>
        </w:rPr>
        <w:t xml:space="preserve"> and a history of asthma as determined by ICD9 codes or chart review.  </w:t>
      </w:r>
      <w:r w:rsidR="001260B1">
        <w:rPr>
          <w:sz w:val="20"/>
          <w:szCs w:val="20"/>
        </w:rPr>
        <w:t>T</w:t>
      </w:r>
      <w:r w:rsidRPr="00385CB1">
        <w:rPr>
          <w:sz w:val="20"/>
          <w:szCs w:val="20"/>
        </w:rPr>
        <w:t>he individual should</w:t>
      </w:r>
      <w:r w:rsidR="002456D7">
        <w:rPr>
          <w:sz w:val="20"/>
          <w:szCs w:val="20"/>
        </w:rPr>
        <w:t xml:space="preserve"> be four years of age or older,</w:t>
      </w:r>
      <w:r w:rsidRPr="00385CB1">
        <w:rPr>
          <w:sz w:val="20"/>
          <w:szCs w:val="20"/>
        </w:rPr>
        <w:t xml:space="preserve"> have affirm</w:t>
      </w:r>
      <w:r w:rsidR="00CC4D4D">
        <w:rPr>
          <w:sz w:val="20"/>
          <w:szCs w:val="20"/>
        </w:rPr>
        <w:t>ative asthma ICD9 codes</w:t>
      </w:r>
      <w:r w:rsidR="002456D7">
        <w:rPr>
          <w:sz w:val="20"/>
          <w:szCs w:val="20"/>
        </w:rPr>
        <w:t>,</w:t>
      </w:r>
      <w:r w:rsidR="00CC4D4D">
        <w:rPr>
          <w:sz w:val="20"/>
          <w:szCs w:val="20"/>
        </w:rPr>
        <w:t xml:space="preserve"> (493.x)</w:t>
      </w:r>
      <w:r w:rsidR="002456D7">
        <w:rPr>
          <w:sz w:val="20"/>
          <w:szCs w:val="20"/>
        </w:rPr>
        <w:t xml:space="preserve"> and have asthma been prescribed relevant medications</w:t>
      </w:r>
      <w:r w:rsidR="00CC4D4D">
        <w:rPr>
          <w:sz w:val="20"/>
          <w:szCs w:val="20"/>
        </w:rPr>
        <w:t>.</w:t>
      </w:r>
    </w:p>
    <w:p w:rsidR="00996F64" w:rsidRDefault="00996F64" w:rsidP="00FA2386">
      <w:pPr>
        <w:spacing w:after="0" w:line="240" w:lineRule="auto"/>
        <w:rPr>
          <w:b/>
        </w:rPr>
      </w:pPr>
    </w:p>
    <w:p w:rsidR="00385CB1" w:rsidRDefault="00FA2386" w:rsidP="00385CB1">
      <w:pPr>
        <w:spacing w:after="0" w:line="240" w:lineRule="auto"/>
        <w:ind w:firstLine="720"/>
        <w:rPr>
          <w:sz w:val="20"/>
          <w:szCs w:val="20"/>
        </w:rPr>
      </w:pPr>
      <w:r w:rsidRPr="00FA2386">
        <w:rPr>
          <w:sz w:val="20"/>
          <w:szCs w:val="20"/>
        </w:rPr>
        <w:t>Case inclusion criteria:</w:t>
      </w:r>
      <w:r w:rsidR="00122E26">
        <w:rPr>
          <w:sz w:val="20"/>
          <w:szCs w:val="20"/>
        </w:rPr>
        <w:t xml:space="preserve"> </w:t>
      </w:r>
    </w:p>
    <w:p w:rsidR="00E3681C" w:rsidRDefault="00B15F8A" w:rsidP="00EC2EA7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-</w:t>
      </w:r>
      <w:r w:rsidR="00351179">
        <w:rPr>
          <w:sz w:val="20"/>
          <w:szCs w:val="20"/>
        </w:rPr>
        <w:t xml:space="preserve"> </w:t>
      </w:r>
      <w:r w:rsidR="00CC4D4D" w:rsidRPr="00BB6664">
        <w:rPr>
          <w:rFonts w:cs="Tahoma"/>
          <w:color w:val="000000"/>
          <w:sz w:val="20"/>
          <w:szCs w:val="20"/>
        </w:rPr>
        <w:t xml:space="preserve">Individuals </w:t>
      </w:r>
      <w:r w:rsidR="00CC4D4D">
        <w:rPr>
          <w:rFonts w:cs="Tahoma"/>
          <w:color w:val="000000"/>
          <w:sz w:val="20"/>
          <w:szCs w:val="20"/>
        </w:rPr>
        <w:t>1460</w:t>
      </w:r>
      <w:r w:rsidR="00CC4D4D" w:rsidRPr="00BB6664">
        <w:rPr>
          <w:rFonts w:cs="Tahoma"/>
          <w:color w:val="000000"/>
          <w:sz w:val="20"/>
          <w:szCs w:val="20"/>
        </w:rPr>
        <w:t xml:space="preserve"> </w:t>
      </w:r>
      <w:r w:rsidR="00CC4D4D">
        <w:rPr>
          <w:rFonts w:cs="Tahoma"/>
          <w:color w:val="000000"/>
          <w:sz w:val="20"/>
          <w:szCs w:val="20"/>
        </w:rPr>
        <w:t xml:space="preserve">days-old </w:t>
      </w:r>
      <w:r w:rsidR="00CC4D4D" w:rsidRPr="00BB6664">
        <w:rPr>
          <w:rFonts w:cs="Tahoma"/>
          <w:color w:val="000000"/>
          <w:sz w:val="20"/>
          <w:szCs w:val="20"/>
        </w:rPr>
        <w:t xml:space="preserve">or older </w:t>
      </w:r>
      <w:r w:rsidR="00CC4D4D">
        <w:rPr>
          <w:rFonts w:cs="Tahoma"/>
          <w:color w:val="000000"/>
          <w:sz w:val="20"/>
          <w:szCs w:val="20"/>
        </w:rPr>
        <w:t xml:space="preserve">with </w:t>
      </w:r>
      <w:r w:rsidR="00CC4D4D">
        <w:rPr>
          <w:sz w:val="20"/>
          <w:szCs w:val="20"/>
        </w:rPr>
        <w:t>o</w:t>
      </w:r>
      <w:r w:rsidR="0044589B" w:rsidRPr="0044589B">
        <w:rPr>
          <w:sz w:val="20"/>
          <w:szCs w:val="20"/>
        </w:rPr>
        <w:t xml:space="preserve">ne or more prescriptions of asthma related medications (see </w:t>
      </w:r>
      <w:r w:rsidR="0044589B" w:rsidRPr="00EC2EA7">
        <w:rPr>
          <w:b/>
          <w:sz w:val="20"/>
          <w:szCs w:val="20"/>
        </w:rPr>
        <w:t>Table 1</w:t>
      </w:r>
      <w:r w:rsidR="0044589B" w:rsidRPr="0044589B">
        <w:rPr>
          <w:sz w:val="20"/>
          <w:szCs w:val="20"/>
        </w:rPr>
        <w:t>)</w:t>
      </w:r>
    </w:p>
    <w:p w:rsidR="00385CB1" w:rsidRPr="00385CB1" w:rsidRDefault="00385CB1" w:rsidP="00EC2EA7">
      <w:pPr>
        <w:pStyle w:val="ListParagraph"/>
        <w:spacing w:after="0" w:line="240" w:lineRule="auto"/>
        <w:ind w:left="144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proofErr w:type="gramStart"/>
      <w:r w:rsidRPr="00385CB1">
        <w:rPr>
          <w:i/>
          <w:sz w:val="20"/>
          <w:szCs w:val="20"/>
        </w:rPr>
        <w:t>plus</w:t>
      </w:r>
      <w:proofErr w:type="gramEnd"/>
    </w:p>
    <w:p w:rsidR="00E3681C" w:rsidRDefault="00B15F8A" w:rsidP="00EC2EA7">
      <w:pPr>
        <w:pStyle w:val="ListParagraph"/>
        <w:spacing w:after="0" w:line="240" w:lineRule="auto"/>
        <w:ind w:left="1440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-</w:t>
      </w:r>
      <w:r w:rsidR="00CC4D4D">
        <w:rPr>
          <w:rFonts w:cs="Tahoma"/>
          <w:color w:val="000000"/>
          <w:sz w:val="20"/>
          <w:szCs w:val="20"/>
        </w:rPr>
        <w:t xml:space="preserve"> Two </w:t>
      </w:r>
      <w:r w:rsidR="00FA2386" w:rsidRPr="00BB6664">
        <w:rPr>
          <w:rFonts w:cs="Tahoma"/>
          <w:color w:val="000000"/>
          <w:sz w:val="20"/>
          <w:szCs w:val="20"/>
        </w:rPr>
        <w:t>o</w:t>
      </w:r>
      <w:r w:rsidR="007724F3" w:rsidRPr="00BB6664">
        <w:rPr>
          <w:rFonts w:cs="Tahoma"/>
          <w:color w:val="000000"/>
          <w:sz w:val="20"/>
          <w:szCs w:val="20"/>
        </w:rPr>
        <w:t xml:space="preserve">r more relevant ICD9 codes in two </w:t>
      </w:r>
      <w:r w:rsidR="00FA2386" w:rsidRPr="00BB6664">
        <w:rPr>
          <w:rFonts w:cs="Tahoma"/>
          <w:color w:val="000000"/>
          <w:sz w:val="20"/>
          <w:szCs w:val="20"/>
        </w:rPr>
        <w:t xml:space="preserve">or more </w:t>
      </w:r>
      <w:r w:rsidR="00F00C58" w:rsidRPr="00BB6664">
        <w:rPr>
          <w:rFonts w:cs="Tahoma"/>
          <w:color w:val="000000"/>
          <w:sz w:val="20"/>
          <w:szCs w:val="20"/>
        </w:rPr>
        <w:t>in-person visits</w:t>
      </w:r>
      <w:r w:rsidR="00907445" w:rsidRPr="00BB6664">
        <w:rPr>
          <w:rFonts w:cs="Tahoma"/>
          <w:color w:val="000000"/>
          <w:sz w:val="20"/>
          <w:szCs w:val="20"/>
        </w:rPr>
        <w:t>, on separate calendar days.</w:t>
      </w:r>
      <w:r w:rsidR="00B11617" w:rsidRPr="00BB6664">
        <w:rPr>
          <w:rFonts w:cs="Tahoma"/>
          <w:color w:val="000000"/>
          <w:sz w:val="20"/>
          <w:szCs w:val="20"/>
        </w:rPr>
        <w:t xml:space="preserve"> </w:t>
      </w:r>
    </w:p>
    <w:p w:rsidR="00FA2386" w:rsidRDefault="00FA2386" w:rsidP="00FA2386">
      <w:pPr>
        <w:spacing w:after="0" w:line="240" w:lineRule="auto"/>
        <w:rPr>
          <w:sz w:val="20"/>
          <w:szCs w:val="20"/>
        </w:rPr>
      </w:pPr>
    </w:p>
    <w:p w:rsidR="00FA2386" w:rsidRDefault="00FA2386" w:rsidP="00FA2386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Case exclusion criteria:</w:t>
      </w:r>
    </w:p>
    <w:p w:rsidR="00434494" w:rsidRDefault="00796DBD" w:rsidP="00EC2EA7">
      <w:pPr>
        <w:spacing w:after="0" w:line="240" w:lineRule="auto"/>
        <w:ind w:left="1530" w:hanging="90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-</w:t>
      </w:r>
      <w:r w:rsidR="00385CB1">
        <w:rPr>
          <w:rFonts w:cs="Arial"/>
          <w:sz w:val="20"/>
          <w:szCs w:val="20"/>
        </w:rPr>
        <w:t xml:space="preserve"> Individuals</w:t>
      </w:r>
      <w:r w:rsidR="00434494" w:rsidRPr="00434494">
        <w:rPr>
          <w:rFonts w:cs="Arial"/>
          <w:sz w:val="20"/>
          <w:szCs w:val="20"/>
        </w:rPr>
        <w:t xml:space="preserve"> with any of the </w:t>
      </w:r>
      <w:r w:rsidR="00CD7343">
        <w:rPr>
          <w:rFonts w:cs="Arial"/>
          <w:sz w:val="20"/>
          <w:szCs w:val="20"/>
        </w:rPr>
        <w:t xml:space="preserve">ICD9 codes shown in </w:t>
      </w:r>
      <w:r w:rsidR="00EC2EA7" w:rsidRPr="00EC2EA7">
        <w:rPr>
          <w:rFonts w:cs="Arial"/>
          <w:b/>
          <w:sz w:val="20"/>
          <w:szCs w:val="20"/>
        </w:rPr>
        <w:t xml:space="preserve">Table </w:t>
      </w:r>
      <w:r w:rsidR="00CD7343" w:rsidRPr="00EC2EA7">
        <w:rPr>
          <w:rFonts w:cs="Arial"/>
          <w:b/>
          <w:sz w:val="20"/>
          <w:szCs w:val="20"/>
        </w:rPr>
        <w:t>2</w:t>
      </w:r>
    </w:p>
    <w:p w:rsidR="00174FA9" w:rsidRDefault="00174FA9" w:rsidP="00174FA9">
      <w:pPr>
        <w:spacing w:after="0" w:line="240" w:lineRule="auto"/>
        <w:rPr>
          <w:rFonts w:cs="Arial"/>
          <w:b/>
          <w:sz w:val="20"/>
          <w:szCs w:val="20"/>
        </w:rPr>
      </w:pPr>
    </w:p>
    <w:p w:rsidR="00174FA9" w:rsidRDefault="00174FA9" w:rsidP="00174FA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Note: </w:t>
      </w:r>
      <w:r w:rsidR="002456D7">
        <w:rPr>
          <w:rFonts w:cs="Arial"/>
          <w:sz w:val="20"/>
          <w:szCs w:val="20"/>
        </w:rPr>
        <w:t>Smoking history</w:t>
      </w:r>
      <w:r w:rsidR="009A2567">
        <w:rPr>
          <w:rFonts w:cs="Arial"/>
          <w:sz w:val="20"/>
          <w:szCs w:val="20"/>
        </w:rPr>
        <w:t xml:space="preserve">—as </w:t>
      </w:r>
      <w:r w:rsidR="002456D7">
        <w:rPr>
          <w:rFonts w:cs="Arial"/>
          <w:sz w:val="20"/>
          <w:szCs w:val="20"/>
        </w:rPr>
        <w:t xml:space="preserve">defined by </w:t>
      </w:r>
      <w:r>
        <w:rPr>
          <w:rFonts w:cs="Arial"/>
          <w:sz w:val="20"/>
          <w:szCs w:val="20"/>
        </w:rPr>
        <w:t>packs/day x years use</w:t>
      </w:r>
      <w:r w:rsidR="009A2567">
        <w:rPr>
          <w:rFonts w:cs="Arial"/>
          <w:sz w:val="20"/>
          <w:szCs w:val="20"/>
        </w:rPr>
        <w:t>—</w:t>
      </w:r>
      <w:r w:rsidR="0060381F">
        <w:rPr>
          <w:rFonts w:cs="Arial"/>
          <w:sz w:val="20"/>
          <w:szCs w:val="20"/>
        </w:rPr>
        <w:t>should,</w:t>
      </w:r>
      <w:r>
        <w:rPr>
          <w:rFonts w:cs="Arial"/>
          <w:sz w:val="20"/>
          <w:szCs w:val="20"/>
        </w:rPr>
        <w:t xml:space="preserve"> be captured</w:t>
      </w:r>
      <w:r w:rsidR="002456D7">
        <w:rPr>
          <w:rFonts w:cs="Arial"/>
          <w:sz w:val="20"/>
          <w:szCs w:val="20"/>
        </w:rPr>
        <w:t xml:space="preserve"> (per Pacheco et al., 2009)</w:t>
      </w:r>
      <w:r w:rsidR="002456D7" w:rsidRPr="002456D7">
        <w:rPr>
          <w:rFonts w:cs="Arial"/>
          <w:sz w:val="20"/>
          <w:szCs w:val="20"/>
          <w:vertAlign w:val="superscript"/>
        </w:rPr>
        <w:t>1</w:t>
      </w:r>
      <w:r w:rsidR="009A2567">
        <w:rPr>
          <w:rFonts w:cs="Arial"/>
          <w:sz w:val="20"/>
          <w:szCs w:val="20"/>
        </w:rPr>
        <w:t xml:space="preserve"> where available. This is not an inclusion/exclusion criterion, however</w:t>
      </w:r>
    </w:p>
    <w:p w:rsidR="00396AF9" w:rsidRDefault="00396AF9" w:rsidP="00396AF9">
      <w:pPr>
        <w:spacing w:after="0" w:line="240" w:lineRule="auto"/>
        <w:rPr>
          <w:rFonts w:cs="Arial"/>
          <w:sz w:val="20"/>
          <w:szCs w:val="20"/>
        </w:rPr>
      </w:pPr>
    </w:p>
    <w:p w:rsidR="00396AF9" w:rsidRPr="00424ABB" w:rsidRDefault="00396AF9" w:rsidP="00396AF9">
      <w:pPr>
        <w:spacing w:after="0" w:line="240" w:lineRule="auto"/>
        <w:rPr>
          <w:rFonts w:cs="Arial"/>
          <w:b/>
        </w:rPr>
      </w:pPr>
      <w:r w:rsidRPr="00424ABB">
        <w:rPr>
          <w:rFonts w:cs="Arial"/>
          <w:b/>
        </w:rPr>
        <w:t>Stratification of cases:</w:t>
      </w:r>
    </w:p>
    <w:p w:rsidR="00E05386" w:rsidRDefault="0069662C">
      <w:pPr>
        <w:spacing w:after="0" w:line="240" w:lineRule="auto"/>
        <w:ind w:left="1440" w:hanging="720"/>
        <w:rPr>
          <w:rFonts w:cs="Arial"/>
          <w:b/>
          <w:sz w:val="20"/>
          <w:szCs w:val="20"/>
        </w:rPr>
      </w:pPr>
      <w:r w:rsidRPr="00424ABB">
        <w:rPr>
          <w:rFonts w:cs="Arial"/>
          <w:sz w:val="20"/>
          <w:szCs w:val="20"/>
        </w:rPr>
        <w:t>Stratified by</w:t>
      </w:r>
      <w:r w:rsidR="00BD06C1" w:rsidRPr="00424ABB">
        <w:rPr>
          <w:rFonts w:cs="Arial"/>
          <w:sz w:val="20"/>
          <w:szCs w:val="20"/>
        </w:rPr>
        <w:t xml:space="preserve"> presence or absence of allergies:</w:t>
      </w:r>
    </w:p>
    <w:p w:rsidR="00396AF9" w:rsidRPr="00424ABB" w:rsidRDefault="004B0F4B" w:rsidP="009A2567">
      <w:pPr>
        <w:spacing w:after="0" w:line="240" w:lineRule="auto"/>
        <w:ind w:left="1530" w:hanging="90"/>
        <w:rPr>
          <w:rFonts w:cs="Arial"/>
          <w:sz w:val="20"/>
          <w:szCs w:val="20"/>
        </w:rPr>
      </w:pPr>
      <w:r w:rsidRPr="00424ABB">
        <w:rPr>
          <w:rFonts w:cs="Arial"/>
          <w:sz w:val="20"/>
          <w:szCs w:val="20"/>
        </w:rPr>
        <w:t>-</w:t>
      </w:r>
      <w:r w:rsidR="00BE2FD4" w:rsidRPr="00424ABB">
        <w:rPr>
          <w:rFonts w:cs="Arial"/>
          <w:sz w:val="20"/>
          <w:szCs w:val="20"/>
        </w:rPr>
        <w:t xml:space="preserve"> </w:t>
      </w:r>
      <w:r w:rsidRPr="00424ABB">
        <w:rPr>
          <w:rFonts w:cs="Arial"/>
          <w:sz w:val="20"/>
          <w:szCs w:val="20"/>
        </w:rPr>
        <w:t>Atopic:</w:t>
      </w:r>
      <w:r w:rsidR="000D458E" w:rsidRPr="00424ABB">
        <w:rPr>
          <w:rFonts w:cs="Arial"/>
          <w:sz w:val="20"/>
          <w:szCs w:val="20"/>
        </w:rPr>
        <w:t xml:space="preserve"> </w:t>
      </w:r>
      <w:r w:rsidR="00500C8D" w:rsidRPr="00424ABB">
        <w:rPr>
          <w:rFonts w:cs="Arial"/>
          <w:sz w:val="20"/>
          <w:szCs w:val="20"/>
        </w:rPr>
        <w:t>Individuals</w:t>
      </w:r>
      <w:r w:rsidR="00DF2F78" w:rsidRPr="00424ABB">
        <w:rPr>
          <w:rFonts w:cs="Arial"/>
          <w:sz w:val="20"/>
          <w:szCs w:val="20"/>
        </w:rPr>
        <w:t xml:space="preserve"> with ICD9 code 493.0 or</w:t>
      </w:r>
      <w:r w:rsidR="002954D1" w:rsidRPr="00424ABB">
        <w:rPr>
          <w:rFonts w:cs="Arial"/>
          <w:sz w:val="20"/>
          <w:szCs w:val="20"/>
        </w:rPr>
        <w:t xml:space="preserve"> two</w:t>
      </w:r>
      <w:r w:rsidR="00CD7343" w:rsidRPr="00424ABB">
        <w:rPr>
          <w:rFonts w:cs="Arial"/>
          <w:sz w:val="20"/>
          <w:szCs w:val="20"/>
        </w:rPr>
        <w:t xml:space="preserve"> or more ICD9 codes in </w:t>
      </w:r>
      <w:r w:rsidR="00EC2EA7" w:rsidRPr="00424ABB">
        <w:rPr>
          <w:rFonts w:cs="Arial"/>
          <w:b/>
          <w:sz w:val="20"/>
          <w:szCs w:val="20"/>
        </w:rPr>
        <w:t>T</w:t>
      </w:r>
      <w:r w:rsidR="00CD7343" w:rsidRPr="00424ABB">
        <w:rPr>
          <w:rFonts w:cs="Arial"/>
          <w:b/>
          <w:sz w:val="20"/>
          <w:szCs w:val="20"/>
        </w:rPr>
        <w:t xml:space="preserve">able </w:t>
      </w:r>
      <w:r w:rsidR="00B15F8A">
        <w:rPr>
          <w:rFonts w:cs="Arial"/>
          <w:b/>
          <w:sz w:val="20"/>
          <w:szCs w:val="20"/>
        </w:rPr>
        <w:t>3</w:t>
      </w:r>
      <w:r w:rsidR="002954D1" w:rsidRPr="00424ABB">
        <w:rPr>
          <w:rFonts w:cs="Arial"/>
          <w:sz w:val="20"/>
          <w:szCs w:val="20"/>
        </w:rPr>
        <w:t xml:space="preserve"> on separate</w:t>
      </w:r>
      <w:r w:rsidR="00AF5D85" w:rsidRPr="00424ABB">
        <w:rPr>
          <w:rFonts w:cs="Arial"/>
          <w:sz w:val="20"/>
          <w:szCs w:val="20"/>
        </w:rPr>
        <w:t xml:space="preserve"> </w:t>
      </w:r>
      <w:r w:rsidR="002954D1" w:rsidRPr="00424ABB">
        <w:rPr>
          <w:rFonts w:cs="Arial"/>
          <w:sz w:val="20"/>
          <w:szCs w:val="20"/>
        </w:rPr>
        <w:t xml:space="preserve">calendar days       </w:t>
      </w:r>
    </w:p>
    <w:p w:rsidR="00BD06C1" w:rsidRPr="00E9431E" w:rsidRDefault="00BD06C1" w:rsidP="00396AF9">
      <w:pPr>
        <w:spacing w:after="0" w:line="240" w:lineRule="auto"/>
        <w:rPr>
          <w:rFonts w:cs="Arial"/>
          <w:color w:val="FF0000"/>
        </w:rPr>
      </w:pPr>
      <w:r w:rsidRPr="00E9431E">
        <w:rPr>
          <w:rFonts w:cs="Arial"/>
        </w:rPr>
        <w:tab/>
      </w:r>
      <w:r w:rsidRPr="00E9431E">
        <w:rPr>
          <w:rFonts w:cs="Arial"/>
        </w:rPr>
        <w:tab/>
      </w:r>
      <w:r w:rsidRPr="00E9431E">
        <w:rPr>
          <w:rFonts w:cs="Arial"/>
        </w:rPr>
        <w:tab/>
      </w:r>
    </w:p>
    <w:p w:rsidR="00190157" w:rsidRPr="00E9431E" w:rsidRDefault="00BD06C1" w:rsidP="00DA4116">
      <w:pPr>
        <w:spacing w:after="0" w:line="240" w:lineRule="auto"/>
        <w:rPr>
          <w:rFonts w:cs="Arial"/>
        </w:rPr>
      </w:pPr>
      <w:r w:rsidRPr="00E9431E">
        <w:rPr>
          <w:rFonts w:cs="Arial"/>
        </w:rPr>
        <w:tab/>
      </w:r>
    </w:p>
    <w:p w:rsidR="009F0930" w:rsidRPr="00E05431" w:rsidRDefault="009F0930" w:rsidP="009F0930">
      <w:pPr>
        <w:spacing w:after="0" w:line="240" w:lineRule="auto"/>
      </w:pPr>
      <w:r w:rsidRPr="00424ABB">
        <w:rPr>
          <w:b/>
        </w:rPr>
        <w:t>Controls:</w:t>
      </w:r>
    </w:p>
    <w:p w:rsidR="00E05431" w:rsidRPr="00E05431" w:rsidRDefault="00E05431" w:rsidP="009F0930">
      <w:pPr>
        <w:spacing w:after="0" w:line="240" w:lineRule="auto"/>
      </w:pPr>
      <w:r w:rsidRPr="00E05431">
        <w:tab/>
        <w:t>-</w:t>
      </w:r>
      <w:r>
        <w:t xml:space="preserve"> </w:t>
      </w:r>
      <w:r w:rsidRPr="00E05431">
        <w:rPr>
          <w:sz w:val="20"/>
          <w:szCs w:val="20"/>
        </w:rPr>
        <w:t>Individuals 1460 days-old or older</w:t>
      </w:r>
    </w:p>
    <w:p w:rsidR="009F0930" w:rsidRPr="00424ABB" w:rsidRDefault="009F0930" w:rsidP="009F0930">
      <w:pPr>
        <w:spacing w:after="0" w:line="240" w:lineRule="auto"/>
        <w:rPr>
          <w:sz w:val="20"/>
          <w:szCs w:val="20"/>
        </w:rPr>
      </w:pPr>
      <w:r w:rsidRPr="00E9431E">
        <w:tab/>
        <w:t xml:space="preserve">- </w:t>
      </w:r>
      <w:r w:rsidRPr="00424ABB">
        <w:rPr>
          <w:sz w:val="20"/>
          <w:szCs w:val="20"/>
        </w:rPr>
        <w:t>No diagnosis codes for asthma</w:t>
      </w:r>
      <w:r w:rsidR="00B11617" w:rsidRPr="00424ABB">
        <w:rPr>
          <w:sz w:val="20"/>
          <w:szCs w:val="20"/>
        </w:rPr>
        <w:t xml:space="preserve"> (493.xx)</w:t>
      </w:r>
    </w:p>
    <w:p w:rsidR="009F0930" w:rsidRPr="00424ABB" w:rsidRDefault="009F0930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 xml:space="preserve">- No </w:t>
      </w:r>
      <w:r w:rsidR="00500C8D" w:rsidRPr="00424ABB">
        <w:rPr>
          <w:sz w:val="20"/>
          <w:szCs w:val="20"/>
        </w:rPr>
        <w:t>history</w:t>
      </w:r>
      <w:r w:rsidRPr="00424ABB">
        <w:rPr>
          <w:sz w:val="20"/>
          <w:szCs w:val="20"/>
        </w:rPr>
        <w:t xml:space="preserve"> of relevant medications</w:t>
      </w:r>
      <w:r w:rsidR="007B2D16" w:rsidRPr="00424ABB">
        <w:rPr>
          <w:sz w:val="20"/>
          <w:szCs w:val="20"/>
        </w:rPr>
        <w:t xml:space="preserve"> (</w:t>
      </w:r>
      <w:r w:rsidR="00874FE5" w:rsidRPr="00424ABB">
        <w:rPr>
          <w:sz w:val="20"/>
          <w:szCs w:val="20"/>
        </w:rPr>
        <w:t xml:space="preserve">see </w:t>
      </w:r>
      <w:r w:rsidR="007B2D16" w:rsidRPr="00424ABB">
        <w:rPr>
          <w:sz w:val="20"/>
          <w:szCs w:val="20"/>
        </w:rPr>
        <w:t>Table 1</w:t>
      </w:r>
      <w:r w:rsidR="00B11617" w:rsidRPr="00424ABB">
        <w:rPr>
          <w:sz w:val="20"/>
          <w:szCs w:val="20"/>
        </w:rPr>
        <w:t>)</w:t>
      </w:r>
    </w:p>
    <w:p w:rsidR="009F0930" w:rsidRPr="00424ABB" w:rsidRDefault="009F0930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>-</w:t>
      </w:r>
      <w:r w:rsidR="00B11617" w:rsidRPr="00424ABB">
        <w:rPr>
          <w:sz w:val="20"/>
          <w:szCs w:val="20"/>
        </w:rPr>
        <w:t xml:space="preserve"> No </w:t>
      </w:r>
      <w:r w:rsidR="00122E26" w:rsidRPr="00424ABB">
        <w:rPr>
          <w:sz w:val="20"/>
          <w:szCs w:val="20"/>
        </w:rPr>
        <w:t>e</w:t>
      </w:r>
      <w:r w:rsidR="00907445" w:rsidRPr="00424ABB">
        <w:rPr>
          <w:sz w:val="20"/>
          <w:szCs w:val="20"/>
        </w:rPr>
        <w:t>xclusionary ICD 9 codes (</w:t>
      </w:r>
      <w:r w:rsidR="00874FE5" w:rsidRPr="00424ABB">
        <w:rPr>
          <w:sz w:val="20"/>
          <w:szCs w:val="20"/>
        </w:rPr>
        <w:t xml:space="preserve">see </w:t>
      </w:r>
      <w:r w:rsidR="00B15F8A">
        <w:rPr>
          <w:sz w:val="20"/>
          <w:szCs w:val="20"/>
        </w:rPr>
        <w:t>Table 4</w:t>
      </w:r>
      <w:r w:rsidR="00122E26" w:rsidRPr="00424ABB">
        <w:rPr>
          <w:sz w:val="20"/>
          <w:szCs w:val="20"/>
        </w:rPr>
        <w:t>)</w:t>
      </w:r>
    </w:p>
    <w:p w:rsidR="00122E26" w:rsidRPr="00E9431E" w:rsidRDefault="00122E26" w:rsidP="009F0930">
      <w:pPr>
        <w:spacing w:after="0" w:line="240" w:lineRule="auto"/>
      </w:pPr>
    </w:p>
    <w:p w:rsidR="00DA4116" w:rsidRPr="00E9431E" w:rsidRDefault="00DA4116" w:rsidP="009F0930">
      <w:pPr>
        <w:spacing w:after="0" w:line="240" w:lineRule="auto"/>
        <w:rPr>
          <w:b/>
        </w:rPr>
      </w:pPr>
    </w:p>
    <w:p w:rsidR="00122E26" w:rsidRPr="00E9431E" w:rsidRDefault="00122E26" w:rsidP="009F0930">
      <w:pPr>
        <w:spacing w:after="0" w:line="240" w:lineRule="auto"/>
        <w:rPr>
          <w:b/>
        </w:rPr>
      </w:pPr>
      <w:r w:rsidRPr="00E9431E">
        <w:rPr>
          <w:b/>
        </w:rPr>
        <w:t>Covariates:</w:t>
      </w:r>
      <w:r w:rsidR="00190157" w:rsidRPr="00E9431E">
        <w:rPr>
          <w:b/>
        </w:rPr>
        <w:t xml:space="preserve">   </w:t>
      </w:r>
    </w:p>
    <w:p w:rsidR="00122E26" w:rsidRPr="00424ABB" w:rsidRDefault="00122E26" w:rsidP="009F0930">
      <w:pPr>
        <w:spacing w:after="0" w:line="240" w:lineRule="auto"/>
        <w:rPr>
          <w:sz w:val="20"/>
          <w:szCs w:val="20"/>
        </w:rPr>
      </w:pPr>
      <w:r w:rsidRPr="00E9431E">
        <w:rPr>
          <w:b/>
        </w:rPr>
        <w:tab/>
      </w:r>
      <w:r w:rsidRPr="00424ABB">
        <w:rPr>
          <w:sz w:val="20"/>
          <w:szCs w:val="20"/>
        </w:rPr>
        <w:t>Age</w:t>
      </w:r>
    </w:p>
    <w:p w:rsidR="00122E26" w:rsidRPr="00424ABB" w:rsidRDefault="00122E26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>Gender</w:t>
      </w:r>
    </w:p>
    <w:p w:rsidR="00122E26" w:rsidRPr="00424ABB" w:rsidRDefault="00122E26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>Ethnicity</w:t>
      </w:r>
    </w:p>
    <w:p w:rsidR="00F24538" w:rsidRPr="00424ABB" w:rsidRDefault="00F24538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>Race</w:t>
      </w:r>
    </w:p>
    <w:p w:rsidR="00122E26" w:rsidRPr="00424ABB" w:rsidRDefault="00122E26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>BMI</w:t>
      </w:r>
    </w:p>
    <w:p w:rsidR="00122E26" w:rsidRPr="00424ABB" w:rsidRDefault="00122E26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>Pets</w:t>
      </w:r>
      <w:r w:rsidR="00871B3E">
        <w:rPr>
          <w:sz w:val="20"/>
          <w:szCs w:val="20"/>
        </w:rPr>
        <w:t xml:space="preserve"> in home</w:t>
      </w:r>
    </w:p>
    <w:p w:rsidR="00122E26" w:rsidRPr="00424ABB" w:rsidRDefault="00500C8D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 xml:space="preserve">Smoking </w:t>
      </w:r>
      <w:r w:rsidR="00F24538" w:rsidRPr="00424ABB">
        <w:rPr>
          <w:sz w:val="20"/>
          <w:szCs w:val="20"/>
        </w:rPr>
        <w:t>status</w:t>
      </w:r>
      <w:r w:rsidR="00871B3E">
        <w:rPr>
          <w:sz w:val="20"/>
          <w:szCs w:val="20"/>
        </w:rPr>
        <w:t>/smoke in home</w:t>
      </w:r>
    </w:p>
    <w:p w:rsidR="002954D1" w:rsidRPr="00424ABB" w:rsidRDefault="002954D1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>IgE test</w:t>
      </w:r>
    </w:p>
    <w:p w:rsidR="002954D1" w:rsidRPr="00424ABB" w:rsidRDefault="002954D1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>Positive RAST test</w:t>
      </w:r>
    </w:p>
    <w:p w:rsidR="002954D1" w:rsidRPr="00424ABB" w:rsidRDefault="002954D1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lastRenderedPageBreak/>
        <w:tab/>
        <w:t xml:space="preserve">Positive </w:t>
      </w:r>
      <w:proofErr w:type="spellStart"/>
      <w:r w:rsidRPr="00424ABB">
        <w:rPr>
          <w:sz w:val="20"/>
          <w:szCs w:val="20"/>
        </w:rPr>
        <w:t>rhinoconjuctivitis</w:t>
      </w:r>
      <w:proofErr w:type="spellEnd"/>
    </w:p>
    <w:p w:rsidR="002954D1" w:rsidRPr="00424ABB" w:rsidRDefault="002954D1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>History of Asthma medications</w:t>
      </w:r>
    </w:p>
    <w:p w:rsidR="002954D1" w:rsidRPr="00424ABB" w:rsidRDefault="002954D1" w:rsidP="009F0930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ab/>
        <w:t>History of Asthma diagnosis</w:t>
      </w:r>
    </w:p>
    <w:p w:rsidR="007B2D16" w:rsidRDefault="007B2D16" w:rsidP="009F0930">
      <w:pPr>
        <w:spacing w:after="0" w:line="240" w:lineRule="auto"/>
        <w:rPr>
          <w:sz w:val="20"/>
          <w:szCs w:val="20"/>
        </w:rPr>
      </w:pPr>
    </w:p>
    <w:p w:rsidR="007B2D16" w:rsidRDefault="007B2D16" w:rsidP="009F0930">
      <w:pPr>
        <w:spacing w:after="0" w:line="240" w:lineRule="auto"/>
        <w:rPr>
          <w:b/>
        </w:rPr>
      </w:pPr>
    </w:p>
    <w:p w:rsidR="007B2D16" w:rsidRDefault="007B2D16" w:rsidP="009F0930">
      <w:pPr>
        <w:spacing w:after="0" w:line="240" w:lineRule="auto"/>
        <w:rPr>
          <w:b/>
        </w:rPr>
      </w:pPr>
      <w:r w:rsidRPr="0069662C">
        <w:rPr>
          <w:b/>
          <w:sz w:val="24"/>
          <w:szCs w:val="24"/>
        </w:rPr>
        <w:t>Table 1:</w:t>
      </w:r>
      <w:r w:rsidR="0069662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3"/>
        <w:gridCol w:w="2280"/>
        <w:gridCol w:w="2681"/>
        <w:gridCol w:w="2172"/>
      </w:tblGrid>
      <w:tr w:rsidR="007B2D16" w:rsidRPr="0069662C" w:rsidTr="007B2D16">
        <w:tc>
          <w:tcPr>
            <w:tcW w:w="9576" w:type="dxa"/>
            <w:gridSpan w:val="4"/>
          </w:tcPr>
          <w:p w:rsidR="007B2D16" w:rsidRPr="0069662C" w:rsidRDefault="007B2D16" w:rsidP="006966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br w:type="page"/>
            </w:r>
            <w:r w:rsidRPr="0069662C">
              <w:rPr>
                <w:b/>
                <w:sz w:val="20"/>
                <w:szCs w:val="20"/>
              </w:rPr>
              <w:t xml:space="preserve"> Asthma medication by sub-type. </w:t>
            </w:r>
          </w:p>
        </w:tc>
      </w:tr>
      <w:tr w:rsidR="007B2D16" w:rsidRPr="0069662C" w:rsidTr="00F87F4B">
        <w:tc>
          <w:tcPr>
            <w:tcW w:w="2443" w:type="dxa"/>
          </w:tcPr>
          <w:p w:rsidR="007B2D16" w:rsidRPr="0069662C" w:rsidRDefault="007B2D16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Oral Steroids, anti-IgE </w:t>
            </w:r>
          </w:p>
          <w:p w:rsidR="007B2D16" w:rsidRPr="0069662C" w:rsidRDefault="007B2D16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>(-&gt; severe)</w:t>
            </w:r>
          </w:p>
        </w:tc>
        <w:tc>
          <w:tcPr>
            <w:tcW w:w="2280" w:type="dxa"/>
          </w:tcPr>
          <w:p w:rsidR="007B2D16" w:rsidRPr="0069662C" w:rsidRDefault="007B2D16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Inhaled Steroids </w:t>
            </w:r>
          </w:p>
          <w:p w:rsidR="007B2D16" w:rsidRPr="0069662C" w:rsidRDefault="007B2D16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(-&gt; moderate) </w:t>
            </w:r>
          </w:p>
        </w:tc>
        <w:tc>
          <w:tcPr>
            <w:tcW w:w="2681" w:type="dxa"/>
          </w:tcPr>
          <w:p w:rsidR="007B2D16" w:rsidRPr="0069662C" w:rsidRDefault="007B2D16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Beta-Agonists </w:t>
            </w:r>
          </w:p>
          <w:p w:rsidR="007B2D16" w:rsidRPr="0069662C" w:rsidRDefault="007B2D16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(-&gt; mild) </w:t>
            </w:r>
          </w:p>
        </w:tc>
        <w:tc>
          <w:tcPr>
            <w:tcW w:w="2172" w:type="dxa"/>
          </w:tcPr>
          <w:p w:rsidR="007B2D16" w:rsidRPr="0069662C" w:rsidRDefault="007B2D16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Other </w:t>
            </w:r>
          </w:p>
          <w:p w:rsidR="007B2D16" w:rsidRPr="0069662C" w:rsidRDefault="007B2D16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(-&gt; mild) </w:t>
            </w:r>
          </w:p>
        </w:tc>
      </w:tr>
      <w:tr w:rsidR="007B2D16" w:rsidRPr="0069662C" w:rsidTr="00F87F4B">
        <w:tc>
          <w:tcPr>
            <w:tcW w:w="2443" w:type="dxa"/>
          </w:tcPr>
          <w:p w:rsidR="007B2D16" w:rsidRPr="0069662C" w:rsidRDefault="007B2D16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Dexamethasone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Decadron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Deltasone</w:t>
            </w:r>
            <w:proofErr w:type="spellEnd"/>
            <w:r w:rsidRPr="0069662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80" w:type="dxa"/>
          </w:tcPr>
          <w:p w:rsidR="007B2D16" w:rsidRPr="0069662C" w:rsidRDefault="007B2D16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Beclomethasone</w:t>
            </w:r>
            <w:proofErr w:type="spellEnd"/>
            <w:r w:rsidRPr="0069662C">
              <w:rPr>
                <w:sz w:val="20"/>
                <w:szCs w:val="20"/>
              </w:rPr>
              <w:t xml:space="preserve"> (QVAR) </w:t>
            </w:r>
          </w:p>
        </w:tc>
        <w:tc>
          <w:tcPr>
            <w:tcW w:w="2681" w:type="dxa"/>
          </w:tcPr>
          <w:p w:rsidR="007B2D16" w:rsidRPr="0069662C" w:rsidRDefault="007B2D16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 β1 agonists</w:t>
            </w:r>
          </w:p>
        </w:tc>
        <w:tc>
          <w:tcPr>
            <w:tcW w:w="2172" w:type="dxa"/>
          </w:tcPr>
          <w:p w:rsidR="007B2D16" w:rsidRPr="0069662C" w:rsidRDefault="007B2D16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>Mast cell stabilizers</w:t>
            </w: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Methylprednisolone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Medrol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Medrol</w:t>
            </w:r>
            <w:proofErr w:type="spellEnd"/>
            <w:r w:rsidRPr="0069662C">
              <w:rPr>
                <w:sz w:val="20"/>
                <w:szCs w:val="20"/>
              </w:rPr>
              <w:t xml:space="preserve">  </w:t>
            </w:r>
            <w:proofErr w:type="spellStart"/>
            <w:r w:rsidRPr="0069662C">
              <w:rPr>
                <w:sz w:val="20"/>
                <w:szCs w:val="20"/>
              </w:rPr>
              <w:t>Dosepak</w:t>
            </w:r>
            <w:proofErr w:type="spellEnd"/>
            <w:r w:rsidRPr="0069662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80" w:type="dxa"/>
          </w:tcPr>
          <w:p w:rsidR="00F87F4B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Budesonide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Pulmicort</w:t>
            </w:r>
            <w:proofErr w:type="spellEnd"/>
            <w:r w:rsidRPr="0069662C">
              <w:rPr>
                <w:sz w:val="20"/>
                <w:szCs w:val="20"/>
              </w:rPr>
              <w:t xml:space="preserve"> </w:t>
            </w:r>
            <w:proofErr w:type="spellStart"/>
            <w:r w:rsidRPr="0069662C">
              <w:rPr>
                <w:sz w:val="20"/>
                <w:szCs w:val="20"/>
              </w:rPr>
              <w:t>Turbuhaler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Pulmicort</w:t>
            </w:r>
            <w:proofErr w:type="spellEnd"/>
            <w:r w:rsidRPr="0069662C">
              <w:rPr>
                <w:sz w:val="20"/>
                <w:szCs w:val="20"/>
              </w:rPr>
              <w:t xml:space="preserve"> </w:t>
            </w:r>
            <w:proofErr w:type="spellStart"/>
            <w:r w:rsidRPr="0069662C">
              <w:rPr>
                <w:sz w:val="20"/>
                <w:szCs w:val="20"/>
              </w:rPr>
              <w:t>Respules</w:t>
            </w:r>
            <w:proofErr w:type="spellEnd"/>
            <w:r w:rsidRPr="0069662C">
              <w:rPr>
                <w:sz w:val="20"/>
                <w:szCs w:val="20"/>
              </w:rPr>
              <w:t xml:space="preserve">) </w:t>
            </w:r>
          </w:p>
          <w:p w:rsidR="00862387" w:rsidRPr="0069662C" w:rsidRDefault="00862387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Budesonide-Formoterol</w:t>
            </w:r>
            <w:proofErr w:type="spellEnd"/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Methylxanthine</w:t>
            </w:r>
            <w:proofErr w:type="spellEnd"/>
          </w:p>
        </w:tc>
        <w:tc>
          <w:tcPr>
            <w:tcW w:w="2172" w:type="dxa"/>
          </w:tcPr>
          <w:p w:rsidR="00F87F4B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Cromolyn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Cromoglicic</w:t>
            </w:r>
            <w:proofErr w:type="spellEnd"/>
            <w:r w:rsidRPr="0069662C">
              <w:rPr>
                <w:sz w:val="20"/>
                <w:szCs w:val="20"/>
              </w:rPr>
              <w:t xml:space="preserve"> acid, </w:t>
            </w:r>
            <w:proofErr w:type="spellStart"/>
            <w:r w:rsidRPr="0069662C">
              <w:rPr>
                <w:sz w:val="20"/>
                <w:szCs w:val="20"/>
              </w:rPr>
              <w:t>cromoglycate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cromoglicate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Intal</w:t>
            </w:r>
            <w:proofErr w:type="spellEnd"/>
            <w:r w:rsidRPr="0069662C">
              <w:rPr>
                <w:sz w:val="20"/>
                <w:szCs w:val="20"/>
              </w:rPr>
              <w:t>)</w:t>
            </w:r>
          </w:p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Cromolyn</w:t>
            </w:r>
            <w:proofErr w:type="spellEnd"/>
            <w:r>
              <w:rPr>
                <w:sz w:val="20"/>
                <w:szCs w:val="20"/>
              </w:rPr>
              <w:t xml:space="preserve"> Sodium</w:t>
            </w: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Prednisone (</w:t>
            </w:r>
            <w:proofErr w:type="spellStart"/>
            <w:r w:rsidRPr="0069662C">
              <w:rPr>
                <w:sz w:val="20"/>
                <w:szCs w:val="20"/>
              </w:rPr>
              <w:t>Orasone</w:t>
            </w:r>
            <w:proofErr w:type="spellEnd"/>
            <w:r w:rsidRPr="0069662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Flunisolide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Aerobid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Pulmicort</w:t>
            </w:r>
            <w:proofErr w:type="spellEnd"/>
            <w:r w:rsidRPr="0069662C">
              <w:rPr>
                <w:sz w:val="20"/>
                <w:szCs w:val="20"/>
              </w:rPr>
              <w:t xml:space="preserve"> </w:t>
            </w:r>
            <w:proofErr w:type="spellStart"/>
            <w:r w:rsidRPr="0069662C">
              <w:rPr>
                <w:sz w:val="20"/>
                <w:szCs w:val="20"/>
              </w:rPr>
              <w:t>Respules</w:t>
            </w:r>
            <w:proofErr w:type="spellEnd"/>
            <w:r w:rsidRPr="0069662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Theophylline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aminophylline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Dimethylxanthine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Slo</w:t>
            </w:r>
            <w:proofErr w:type="spellEnd"/>
            <w:r w:rsidRPr="0069662C">
              <w:rPr>
                <w:sz w:val="20"/>
                <w:szCs w:val="20"/>
              </w:rPr>
              <w:t xml:space="preserve">-Bid, Theo, </w:t>
            </w:r>
            <w:proofErr w:type="spellStart"/>
            <w:r w:rsidRPr="0069662C">
              <w:rPr>
                <w:sz w:val="20"/>
                <w:szCs w:val="20"/>
              </w:rPr>
              <w:t>Theodur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Theolair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Uniphyl</w:t>
            </w:r>
            <w:proofErr w:type="spellEnd"/>
            <w:r w:rsidRPr="0069662C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Nedocromil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Alocril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Rapitil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Tilade</w:t>
            </w:r>
            <w:proofErr w:type="spellEnd"/>
            <w:r w:rsidRPr="0069662C">
              <w:rPr>
                <w:sz w:val="20"/>
                <w:szCs w:val="20"/>
              </w:rPr>
              <w:t xml:space="preserve">) </w:t>
            </w: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Prednisolone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Orapred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Pediapred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Prelone</w:t>
            </w:r>
            <w:proofErr w:type="spellEnd"/>
            <w:r w:rsidRPr="0069662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Fluticasone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Flovent</w:t>
            </w:r>
            <w:proofErr w:type="spellEnd"/>
            <w:r w:rsidRPr="0069662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BC0971">
              <w:rPr>
                <w:sz w:val="20"/>
                <w:szCs w:val="20"/>
              </w:rPr>
              <w:t>Fluticasone-salmeterol</w:t>
            </w:r>
            <w:proofErr w:type="spellEnd"/>
            <w:r w:rsidR="00BC0971">
              <w:rPr>
                <w:sz w:val="20"/>
                <w:szCs w:val="20"/>
              </w:rPr>
              <w:t xml:space="preserve"> </w:t>
            </w:r>
            <w:r w:rsidR="006E2764">
              <w:rPr>
                <w:sz w:val="20"/>
                <w:szCs w:val="20"/>
              </w:rPr>
              <w:t>(</w:t>
            </w:r>
            <w:proofErr w:type="spellStart"/>
            <w:r w:rsidR="006E2764">
              <w:rPr>
                <w:sz w:val="20"/>
                <w:szCs w:val="20"/>
              </w:rPr>
              <w:t>Advair</w:t>
            </w:r>
            <w:proofErr w:type="spellEnd"/>
            <w:r w:rsidR="006E2764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Fluticasone</w:t>
            </w:r>
            <w:proofErr w:type="spellEnd"/>
            <w:r>
              <w:rPr>
                <w:sz w:val="20"/>
                <w:szCs w:val="20"/>
              </w:rPr>
              <w:t xml:space="preserve"> propionate HFA, </w:t>
            </w:r>
            <w:proofErr w:type="spellStart"/>
            <w:r>
              <w:rPr>
                <w:sz w:val="20"/>
                <w:szCs w:val="20"/>
              </w:rPr>
              <w:t>Fluticasone</w:t>
            </w:r>
            <w:proofErr w:type="spellEnd"/>
            <w:r>
              <w:rPr>
                <w:sz w:val="20"/>
                <w:szCs w:val="20"/>
              </w:rPr>
              <w:t xml:space="preserve"> Propionate inhaled</w:t>
            </w: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Xamoterol</w:t>
            </w:r>
            <w:proofErr w:type="spellEnd"/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>Leukotriene-Antagonists</w:t>
            </w: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Triamcinolone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Aristocort</w:t>
            </w:r>
            <w:proofErr w:type="spellEnd"/>
            <w:r w:rsidRPr="0069662C">
              <w:rPr>
                <w:sz w:val="20"/>
                <w:szCs w:val="20"/>
              </w:rPr>
              <w:t>)</w:t>
            </w:r>
          </w:p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Mometasone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Asmanex</w:t>
            </w:r>
            <w:proofErr w:type="spellEnd"/>
            <w:r w:rsidRPr="0069662C">
              <w:rPr>
                <w:sz w:val="20"/>
                <w:szCs w:val="20"/>
              </w:rPr>
              <w:t xml:space="preserve"> </w:t>
            </w:r>
            <w:proofErr w:type="spellStart"/>
            <w:r w:rsidRPr="0069662C">
              <w:rPr>
                <w:sz w:val="20"/>
                <w:szCs w:val="20"/>
              </w:rPr>
              <w:t>Twisthaler</w:t>
            </w:r>
            <w:proofErr w:type="spellEnd"/>
            <w:r w:rsidRPr="0069662C">
              <w:rPr>
                <w:sz w:val="20"/>
                <w:szCs w:val="20"/>
              </w:rPr>
              <w:t xml:space="preserve">) </w:t>
            </w:r>
          </w:p>
          <w:p w:rsidR="00FD30E5" w:rsidRPr="0069662C" w:rsidRDefault="00FD30E5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Mometasone-formoterol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Dulera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>β2 agonists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Montelukast</w:t>
            </w: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Anti IgE: </w:t>
            </w:r>
          </w:p>
        </w:tc>
        <w:tc>
          <w:tcPr>
            <w:tcW w:w="2280" w:type="dxa"/>
          </w:tcPr>
          <w:p w:rsidR="00F87F4B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Triamcinolone</w:t>
            </w:r>
            <w:proofErr w:type="spellEnd"/>
            <w:r w:rsidRPr="0069662C">
              <w:rPr>
                <w:sz w:val="20"/>
                <w:szCs w:val="20"/>
              </w:rPr>
              <w:t>(</w:t>
            </w:r>
            <w:proofErr w:type="spellStart"/>
            <w:r w:rsidRPr="0069662C">
              <w:rPr>
                <w:sz w:val="20"/>
                <w:szCs w:val="20"/>
              </w:rPr>
              <w:t>Azmacort</w:t>
            </w:r>
            <w:proofErr w:type="spellEnd"/>
            <w:r w:rsidRPr="0069662C">
              <w:rPr>
                <w:sz w:val="20"/>
                <w:szCs w:val="20"/>
              </w:rPr>
              <w:t>)</w:t>
            </w:r>
          </w:p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Triamcinolone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Acetonide</w:t>
            </w:r>
            <w:proofErr w:type="spellEnd"/>
            <w:r w:rsidRPr="006966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Arformoterol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Brovana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Sunovion</w:t>
            </w:r>
            <w:proofErr w:type="spellEnd"/>
            <w:r w:rsidRPr="0069662C">
              <w:rPr>
                <w:sz w:val="20"/>
                <w:szCs w:val="20"/>
              </w:rPr>
              <w:t xml:space="preserve">, ) 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Zafirlukast</w:t>
            </w:r>
            <w:proofErr w:type="spellEnd"/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Omalizumab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Xolair</w:t>
            </w:r>
            <w:proofErr w:type="spellEnd"/>
            <w:r w:rsidRPr="0069662C">
              <w:rPr>
                <w:sz w:val="20"/>
                <w:szCs w:val="20"/>
              </w:rPr>
              <w:t>)</w:t>
            </w: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Ciclesonide</w:t>
            </w:r>
            <w:proofErr w:type="spellEnd"/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Albuterol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Albuterol</w:t>
            </w:r>
            <w:proofErr w:type="spellEnd"/>
            <w:r>
              <w:rPr>
                <w:sz w:val="20"/>
                <w:szCs w:val="20"/>
              </w:rPr>
              <w:t xml:space="preserve"> Sulfate</w:t>
            </w:r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Salbutamol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Ventolin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Proventil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ProAir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Accuneb</w:t>
            </w:r>
            <w:proofErr w:type="spellEnd"/>
            <w:r w:rsidRPr="0069662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Zileuton</w:t>
            </w:r>
            <w:proofErr w:type="spellEnd"/>
            <w:r w:rsidRPr="0069662C">
              <w:rPr>
                <w:sz w:val="20"/>
                <w:szCs w:val="20"/>
              </w:rPr>
              <w:t xml:space="preserve"> </w:t>
            </w: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Clenbuterol</w:t>
            </w:r>
            <w:proofErr w:type="spellEnd"/>
            <w:r w:rsidRPr="006966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>Ipratropium Bromide</w:t>
            </w: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Fenoterol</w:t>
            </w:r>
            <w:proofErr w:type="spellEnd"/>
            <w:r w:rsidRPr="006966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Aerovent</w:t>
            </w:r>
            <w:proofErr w:type="spellEnd"/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Formoterol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Foradil</w:t>
            </w:r>
            <w:proofErr w:type="spellEnd"/>
            <w:r w:rsidRPr="0069662C">
              <w:rPr>
                <w:sz w:val="20"/>
                <w:szCs w:val="20"/>
              </w:rPr>
              <w:t>)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Apovent</w:t>
            </w:r>
            <w:proofErr w:type="spellEnd"/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Isoetarine</w:t>
            </w:r>
            <w:proofErr w:type="spellEnd"/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Atrovent</w:t>
            </w:r>
            <w:proofErr w:type="spellEnd"/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Levalbuterol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Levalbuterol</w:t>
            </w:r>
            <w:proofErr w:type="spellEnd"/>
            <w:r>
              <w:rPr>
                <w:sz w:val="20"/>
                <w:szCs w:val="20"/>
              </w:rPr>
              <w:t xml:space="preserve"> HCL, </w:t>
            </w:r>
            <w:proofErr w:type="spellStart"/>
            <w:r>
              <w:rPr>
                <w:sz w:val="20"/>
                <w:szCs w:val="20"/>
              </w:rPr>
              <w:t>Levalbuterol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Tartrate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Levosalbutamol</w:t>
            </w:r>
            <w:proofErr w:type="spellEnd"/>
            <w:r w:rsidRPr="0069662C">
              <w:rPr>
                <w:sz w:val="20"/>
                <w:szCs w:val="20"/>
              </w:rPr>
              <w:t xml:space="preserve">, </w:t>
            </w:r>
            <w:proofErr w:type="spellStart"/>
            <w:r w:rsidRPr="0069662C">
              <w:rPr>
                <w:sz w:val="20"/>
                <w:szCs w:val="20"/>
              </w:rPr>
              <w:t>Xopenex</w:t>
            </w:r>
            <w:proofErr w:type="spellEnd"/>
            <w:r w:rsidRPr="0069662C">
              <w:rPr>
                <w:sz w:val="20"/>
                <w:szCs w:val="20"/>
              </w:rPr>
              <w:t>)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Ipraxa</w:t>
            </w:r>
            <w:proofErr w:type="spellEnd"/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Metaproterenol</w:t>
            </w:r>
            <w:proofErr w:type="spellEnd"/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9662C">
              <w:rPr>
                <w:b/>
                <w:sz w:val="20"/>
                <w:szCs w:val="20"/>
              </w:rPr>
              <w:t>Phosphodiesterase</w:t>
            </w:r>
            <w:proofErr w:type="spellEnd"/>
            <w:r w:rsidRPr="0069662C">
              <w:rPr>
                <w:b/>
                <w:sz w:val="20"/>
                <w:szCs w:val="20"/>
              </w:rPr>
              <w:t xml:space="preserve"> Inhibitors </w:t>
            </w: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Pirbuterol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Maxair</w:t>
            </w:r>
            <w:proofErr w:type="spellEnd"/>
            <w:r w:rsidRPr="0069662C">
              <w:rPr>
                <w:sz w:val="20"/>
                <w:szCs w:val="20"/>
              </w:rPr>
              <w:t>)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Ibudilast</w:t>
            </w:r>
            <w:proofErr w:type="spellEnd"/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Procaterol</w:t>
            </w:r>
            <w:proofErr w:type="spellEnd"/>
            <w:r w:rsidRPr="006966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Ritodrine</w:t>
            </w:r>
            <w:proofErr w:type="spellEnd"/>
            <w:r w:rsidRPr="006966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Salmeterol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Serevent</w:t>
            </w:r>
            <w:proofErr w:type="spellEnd"/>
            <w:r w:rsidRPr="0069662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Terbutaline</w:t>
            </w:r>
            <w:proofErr w:type="spellEnd"/>
            <w:r w:rsidRPr="0069662C">
              <w:rPr>
                <w:sz w:val="20"/>
                <w:szCs w:val="20"/>
              </w:rPr>
              <w:t xml:space="preserve"> (</w:t>
            </w:r>
            <w:proofErr w:type="spellStart"/>
            <w:r w:rsidRPr="0069662C">
              <w:rPr>
                <w:sz w:val="20"/>
                <w:szCs w:val="20"/>
              </w:rPr>
              <w:t>Brethine</w:t>
            </w:r>
            <w:proofErr w:type="spellEnd"/>
            <w:r w:rsidRPr="0069662C">
              <w:rPr>
                <w:sz w:val="20"/>
                <w:szCs w:val="20"/>
              </w:rPr>
              <w:t>)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7F4B" w:rsidRPr="0069662C" w:rsidTr="00D06954">
        <w:tc>
          <w:tcPr>
            <w:tcW w:w="2443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87F4B" w:rsidRPr="0069662C" w:rsidRDefault="00862387" w:rsidP="008623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Ipratropium-Albuterol</w:t>
            </w:r>
          </w:p>
        </w:tc>
        <w:tc>
          <w:tcPr>
            <w:tcW w:w="2172" w:type="dxa"/>
          </w:tcPr>
          <w:p w:rsidR="00F87F4B" w:rsidRPr="0069662C" w:rsidRDefault="00F87F4B" w:rsidP="007B2D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603B3" w:rsidRDefault="009603B3" w:rsidP="009F0930">
      <w:pPr>
        <w:spacing w:after="0" w:line="240" w:lineRule="auto"/>
        <w:rPr>
          <w:b/>
          <w:sz w:val="24"/>
          <w:szCs w:val="24"/>
        </w:rPr>
      </w:pPr>
    </w:p>
    <w:p w:rsidR="009F1930" w:rsidRDefault="009F1930" w:rsidP="009F0930">
      <w:pPr>
        <w:spacing w:after="0" w:line="240" w:lineRule="auto"/>
        <w:rPr>
          <w:b/>
          <w:sz w:val="24"/>
          <w:szCs w:val="24"/>
        </w:rPr>
      </w:pPr>
    </w:p>
    <w:p w:rsidR="00B15F8A" w:rsidRDefault="00B15F8A" w:rsidP="009F0930">
      <w:pPr>
        <w:spacing w:after="0" w:line="240" w:lineRule="auto"/>
        <w:rPr>
          <w:b/>
          <w:sz w:val="24"/>
          <w:szCs w:val="24"/>
        </w:rPr>
      </w:pPr>
    </w:p>
    <w:p w:rsidR="00E05431" w:rsidRDefault="00E05431" w:rsidP="009F0930">
      <w:pPr>
        <w:spacing w:after="0" w:line="240" w:lineRule="auto"/>
        <w:rPr>
          <w:b/>
          <w:sz w:val="24"/>
          <w:szCs w:val="24"/>
        </w:rPr>
      </w:pPr>
    </w:p>
    <w:p w:rsidR="00E05431" w:rsidRDefault="00E05431" w:rsidP="009F0930">
      <w:pPr>
        <w:spacing w:after="0" w:line="240" w:lineRule="auto"/>
        <w:rPr>
          <w:b/>
          <w:sz w:val="24"/>
          <w:szCs w:val="24"/>
        </w:rPr>
      </w:pPr>
    </w:p>
    <w:p w:rsidR="007B2D16" w:rsidRPr="0069662C" w:rsidRDefault="00CD7343" w:rsidP="009F09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2</w:t>
      </w:r>
      <w:r w:rsidR="007B2D16" w:rsidRPr="0069662C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588"/>
      </w:tblGrid>
      <w:tr w:rsidR="0069662C" w:rsidRPr="0069662C" w:rsidTr="0069662C">
        <w:trPr>
          <w:trHeight w:val="144"/>
        </w:trPr>
        <w:tc>
          <w:tcPr>
            <w:tcW w:w="9576" w:type="dxa"/>
            <w:gridSpan w:val="2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>Asthma Exclusionary ICD9 Codes.</w:t>
            </w:r>
            <w:r w:rsidRPr="0069662C">
              <w:rPr>
                <w:sz w:val="20"/>
                <w:szCs w:val="20"/>
              </w:rPr>
              <w:t xml:space="preserve"> 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>ICD-9 Codes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Diagnosis </w:t>
            </w:r>
          </w:p>
        </w:tc>
      </w:tr>
      <w:tr w:rsidR="0069662C" w:rsidRPr="0069662C" w:rsidTr="0069662C">
        <w:trPr>
          <w:trHeight w:val="144"/>
        </w:trPr>
        <w:tc>
          <w:tcPr>
            <w:tcW w:w="9576" w:type="dxa"/>
            <w:gridSpan w:val="2"/>
          </w:tcPr>
          <w:p w:rsidR="0069662C" w:rsidRPr="0069662C" w:rsidRDefault="0069662C" w:rsidP="00696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662C">
              <w:rPr>
                <w:b/>
                <w:color w:val="000000"/>
                <w:sz w:val="20"/>
                <w:szCs w:val="20"/>
              </w:rPr>
              <w:t>General</w:t>
            </w:r>
          </w:p>
        </w:tc>
      </w:tr>
      <w:tr w:rsidR="003B5742" w:rsidRPr="0069662C" w:rsidTr="0069662C">
        <w:trPr>
          <w:trHeight w:val="144"/>
        </w:trPr>
        <w:tc>
          <w:tcPr>
            <w:tcW w:w="2988" w:type="dxa"/>
          </w:tcPr>
          <w:p w:rsidR="003B5742" w:rsidRPr="0069662C" w:rsidRDefault="003B5742" w:rsidP="006966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273.4</w:t>
            </w:r>
          </w:p>
        </w:tc>
        <w:tc>
          <w:tcPr>
            <w:tcW w:w="6588" w:type="dxa"/>
          </w:tcPr>
          <w:p w:rsidR="003B5742" w:rsidRPr="0069662C" w:rsidRDefault="003B5742" w:rsidP="006966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 1- antitrypsin deficiency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277.xx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Cystic Fibrosis</w:t>
            </w:r>
          </w:p>
        </w:tc>
      </w:tr>
      <w:tr w:rsidR="00D2311C" w:rsidRPr="0069662C" w:rsidTr="0069662C">
        <w:trPr>
          <w:trHeight w:val="144"/>
        </w:trPr>
        <w:tc>
          <w:tcPr>
            <w:tcW w:w="2988" w:type="dxa"/>
          </w:tcPr>
          <w:p w:rsidR="00D2311C" w:rsidRPr="0069662C" w:rsidRDefault="00D2311C" w:rsidP="00D23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415.x</w:t>
            </w:r>
          </w:p>
        </w:tc>
        <w:tc>
          <w:tcPr>
            <w:tcW w:w="6588" w:type="dxa"/>
          </w:tcPr>
          <w:p w:rsidR="00D2311C" w:rsidRPr="0069662C" w:rsidRDefault="00D2311C" w:rsidP="00D23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Pulmonary Heart Disease</w:t>
            </w:r>
          </w:p>
        </w:tc>
      </w:tr>
      <w:tr w:rsidR="00D2311C" w:rsidRPr="0069662C" w:rsidTr="0069662C">
        <w:trPr>
          <w:trHeight w:val="144"/>
        </w:trPr>
        <w:tc>
          <w:tcPr>
            <w:tcW w:w="2988" w:type="dxa"/>
          </w:tcPr>
          <w:p w:rsidR="00D2311C" w:rsidRPr="0069662C" w:rsidRDefault="00D2311C" w:rsidP="00D23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416.x</w:t>
            </w:r>
          </w:p>
        </w:tc>
        <w:tc>
          <w:tcPr>
            <w:tcW w:w="6588" w:type="dxa"/>
          </w:tcPr>
          <w:p w:rsidR="00D2311C" w:rsidRPr="0069662C" w:rsidRDefault="00D2311C" w:rsidP="006966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Pulmonary Heart Disease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478.3xx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Vocal Cord Dysfunction </w:t>
            </w:r>
          </w:p>
        </w:tc>
      </w:tr>
      <w:tr w:rsidR="00F87F4B" w:rsidRPr="0069662C" w:rsidTr="0069662C">
        <w:trPr>
          <w:trHeight w:val="144"/>
        </w:trPr>
        <w:tc>
          <w:tcPr>
            <w:tcW w:w="2988" w:type="dxa"/>
          </w:tcPr>
          <w:p w:rsidR="00F87F4B" w:rsidRPr="0069662C" w:rsidRDefault="00F87F4B" w:rsidP="00F87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478.5</w:t>
            </w:r>
          </w:p>
        </w:tc>
        <w:tc>
          <w:tcPr>
            <w:tcW w:w="6588" w:type="dxa"/>
          </w:tcPr>
          <w:p w:rsidR="00F87F4B" w:rsidRPr="0069662C" w:rsidRDefault="00F87F4B" w:rsidP="006966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Paradoxical Vocal Cord Motion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492.xx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Emphysema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494.xx</w:t>
            </w:r>
          </w:p>
        </w:tc>
        <w:tc>
          <w:tcPr>
            <w:tcW w:w="6588" w:type="dxa"/>
          </w:tcPr>
          <w:p w:rsidR="000068F6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662C">
              <w:rPr>
                <w:sz w:val="20"/>
                <w:szCs w:val="20"/>
              </w:rPr>
              <w:t>Bronchiectasis</w:t>
            </w:r>
            <w:proofErr w:type="spellEnd"/>
            <w:r w:rsidRPr="0069662C">
              <w:rPr>
                <w:sz w:val="20"/>
                <w:szCs w:val="20"/>
              </w:rPr>
              <w:t xml:space="preserve">, Allergic </w:t>
            </w:r>
            <w:proofErr w:type="spellStart"/>
            <w:r w:rsidRPr="0069662C">
              <w:rPr>
                <w:sz w:val="20"/>
                <w:szCs w:val="20"/>
              </w:rPr>
              <w:t>Alveolitis</w:t>
            </w:r>
            <w:proofErr w:type="spellEnd"/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495.2 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Bird-fanciers' lung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496.xx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COPD </w:t>
            </w:r>
          </w:p>
        </w:tc>
      </w:tr>
      <w:tr w:rsidR="00D2311C" w:rsidRPr="0069662C" w:rsidTr="0069662C">
        <w:trPr>
          <w:trHeight w:val="144"/>
        </w:trPr>
        <w:tc>
          <w:tcPr>
            <w:tcW w:w="2988" w:type="dxa"/>
          </w:tcPr>
          <w:p w:rsidR="00D2311C" w:rsidRPr="0069662C" w:rsidRDefault="00D2311C" w:rsidP="006966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6588" w:type="dxa"/>
          </w:tcPr>
          <w:p w:rsidR="00D2311C" w:rsidRPr="0069662C" w:rsidRDefault="00D2311C" w:rsidP="006966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Rheumatoid Arthritis</w:t>
            </w:r>
          </w:p>
        </w:tc>
      </w:tr>
      <w:tr w:rsidR="00D2311C" w:rsidRPr="0069662C" w:rsidTr="0069662C">
        <w:trPr>
          <w:trHeight w:val="144"/>
        </w:trPr>
        <w:tc>
          <w:tcPr>
            <w:tcW w:w="2988" w:type="dxa"/>
          </w:tcPr>
          <w:p w:rsidR="00D2311C" w:rsidRPr="0069662C" w:rsidRDefault="00D2311C" w:rsidP="006966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748.5</w:t>
            </w:r>
          </w:p>
        </w:tc>
        <w:tc>
          <w:tcPr>
            <w:tcW w:w="6588" w:type="dxa"/>
          </w:tcPr>
          <w:p w:rsidR="00D2311C" w:rsidRPr="0069662C" w:rsidRDefault="00D2311C" w:rsidP="006966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Agenesis, </w:t>
            </w:r>
            <w:proofErr w:type="spellStart"/>
            <w:r>
              <w:rPr>
                <w:sz w:val="20"/>
                <w:szCs w:val="20"/>
              </w:rPr>
              <w:t>hypoplasia</w:t>
            </w:r>
            <w:proofErr w:type="spellEnd"/>
            <w:r>
              <w:rPr>
                <w:sz w:val="20"/>
                <w:szCs w:val="20"/>
              </w:rPr>
              <w:t>, and dysplasia of lung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769.xx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Respiratory Distress Syndrome 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V81.3 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Chronic bronchitis and emphysema</w:t>
            </w:r>
          </w:p>
        </w:tc>
      </w:tr>
      <w:tr w:rsidR="0069662C" w:rsidRPr="0069662C" w:rsidTr="0069662C">
        <w:trPr>
          <w:trHeight w:val="144"/>
        </w:trPr>
        <w:tc>
          <w:tcPr>
            <w:tcW w:w="9576" w:type="dxa"/>
            <w:gridSpan w:val="2"/>
          </w:tcPr>
          <w:p w:rsidR="0069662C" w:rsidRPr="0069662C" w:rsidRDefault="0069662C" w:rsidP="00696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Transplant 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>ICD-9 Codes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Diagnosis 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238.77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Post-transplant </w:t>
            </w:r>
            <w:proofErr w:type="spellStart"/>
            <w:r w:rsidRPr="0069662C">
              <w:rPr>
                <w:sz w:val="20"/>
                <w:szCs w:val="20"/>
              </w:rPr>
              <w:t>lymphoproliferative</w:t>
            </w:r>
            <w:proofErr w:type="spellEnd"/>
            <w:r w:rsidRPr="0069662C">
              <w:rPr>
                <w:sz w:val="20"/>
                <w:szCs w:val="20"/>
              </w:rPr>
              <w:t xml:space="preserve"> disorder (PTLD)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996.8 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Complications of transplanted organ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E878.0 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Surgical operation with transplant of whole organ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V42 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Organ or tissue replaced by transplant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V49.83 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Awaiting organ transplant status</w:t>
            </w:r>
          </w:p>
        </w:tc>
      </w:tr>
      <w:tr w:rsidR="0069662C" w:rsidRPr="0069662C" w:rsidTr="0069662C">
        <w:trPr>
          <w:trHeight w:val="144"/>
        </w:trPr>
        <w:tc>
          <w:tcPr>
            <w:tcW w:w="29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V58.44 </w:t>
            </w:r>
          </w:p>
        </w:tc>
        <w:tc>
          <w:tcPr>
            <w:tcW w:w="6588" w:type="dxa"/>
          </w:tcPr>
          <w:p w:rsidR="0069662C" w:rsidRPr="0069662C" w:rsidRDefault="0069662C" w:rsidP="0069662C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Aftercare following organ transplant</w:t>
            </w:r>
          </w:p>
        </w:tc>
      </w:tr>
    </w:tbl>
    <w:p w:rsidR="00BD06C1" w:rsidRDefault="00BD06C1" w:rsidP="009F0930">
      <w:pPr>
        <w:spacing w:after="0" w:line="240" w:lineRule="auto"/>
        <w:rPr>
          <w:b/>
          <w:sz w:val="20"/>
          <w:szCs w:val="20"/>
        </w:rPr>
      </w:pPr>
    </w:p>
    <w:p w:rsidR="004E7730" w:rsidRDefault="004E7730" w:rsidP="009F0930">
      <w:pPr>
        <w:spacing w:after="0" w:line="240" w:lineRule="auto"/>
        <w:rPr>
          <w:b/>
          <w:sz w:val="24"/>
          <w:szCs w:val="24"/>
        </w:rPr>
      </w:pPr>
    </w:p>
    <w:p w:rsidR="004E7730" w:rsidRDefault="004E7730" w:rsidP="009F0930">
      <w:pPr>
        <w:spacing w:after="0" w:line="240" w:lineRule="auto"/>
        <w:rPr>
          <w:b/>
          <w:sz w:val="24"/>
          <w:szCs w:val="24"/>
        </w:rPr>
      </w:pPr>
    </w:p>
    <w:p w:rsidR="00BD06C1" w:rsidRPr="0069662C" w:rsidRDefault="00F24538" w:rsidP="009F09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B15F8A">
        <w:rPr>
          <w:b/>
          <w:sz w:val="24"/>
          <w:szCs w:val="24"/>
        </w:rPr>
        <w:t>3</w:t>
      </w:r>
      <w:r w:rsidR="00B6777C" w:rsidRPr="0069662C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588"/>
      </w:tblGrid>
      <w:tr w:rsidR="00BD06C1" w:rsidRPr="0069662C" w:rsidTr="00BD06C1">
        <w:trPr>
          <w:trHeight w:val="144"/>
        </w:trPr>
        <w:tc>
          <w:tcPr>
            <w:tcW w:w="9576" w:type="dxa"/>
            <w:gridSpan w:val="2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ICD9 Codes Related to Allergies. 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>ICD-9 Codes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62C">
              <w:rPr>
                <w:b/>
                <w:sz w:val="20"/>
                <w:szCs w:val="20"/>
              </w:rPr>
              <w:t xml:space="preserve">Diagnosis 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287.0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Allergic </w:t>
            </w:r>
            <w:proofErr w:type="spellStart"/>
            <w:r w:rsidRPr="0069662C">
              <w:rPr>
                <w:sz w:val="20"/>
                <w:szCs w:val="20"/>
              </w:rPr>
              <w:t>purpura</w:t>
            </w:r>
            <w:proofErr w:type="spellEnd"/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372.14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Other chronic allergic conjunctivitis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Allergic rhinitis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Extrinsic allergic </w:t>
            </w:r>
            <w:proofErr w:type="spellStart"/>
            <w:r w:rsidRPr="0069662C">
              <w:rPr>
                <w:sz w:val="20"/>
                <w:szCs w:val="20"/>
              </w:rPr>
              <w:t>alveolitis</w:t>
            </w:r>
            <w:proofErr w:type="spellEnd"/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691.*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Atopic dermatitis and related conditions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708.0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Allergic </w:t>
            </w:r>
            <w:proofErr w:type="spellStart"/>
            <w:r w:rsidRPr="0069662C">
              <w:rPr>
                <w:sz w:val="20"/>
                <w:szCs w:val="20"/>
              </w:rPr>
              <w:t>urticaria</w:t>
            </w:r>
            <w:proofErr w:type="spellEnd"/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995.3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Allergy, unspecified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V14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Personal history of allergy to medicinal agents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V15.0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Allergy, other than to medicinal agents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V15.01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Allergy to peanuts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 xml:space="preserve">V15.03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sz w:val="20"/>
                <w:szCs w:val="20"/>
              </w:rPr>
            </w:pPr>
            <w:r w:rsidRPr="0069662C">
              <w:rPr>
                <w:sz w:val="20"/>
                <w:szCs w:val="20"/>
              </w:rPr>
              <w:t>Allergy to eggs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662C">
              <w:rPr>
                <w:color w:val="000000"/>
                <w:sz w:val="20"/>
                <w:szCs w:val="20"/>
              </w:rPr>
              <w:t xml:space="preserve">V15.09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662C">
              <w:rPr>
                <w:color w:val="000000"/>
                <w:sz w:val="20"/>
                <w:szCs w:val="20"/>
              </w:rPr>
              <w:t>Other allergy, other than to medicinal agents</w:t>
            </w:r>
          </w:p>
        </w:tc>
      </w:tr>
      <w:tr w:rsidR="00BD06C1" w:rsidRPr="0069662C" w:rsidTr="00BD06C1">
        <w:trPr>
          <w:trHeight w:val="144"/>
        </w:trPr>
        <w:tc>
          <w:tcPr>
            <w:tcW w:w="2988" w:type="dxa"/>
          </w:tcPr>
          <w:p w:rsidR="00BD06C1" w:rsidRPr="0069662C" w:rsidRDefault="00BD06C1" w:rsidP="00BD06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662C">
              <w:rPr>
                <w:color w:val="000000"/>
                <w:sz w:val="20"/>
                <w:szCs w:val="20"/>
              </w:rPr>
              <w:t xml:space="preserve">V19.6 </w:t>
            </w:r>
          </w:p>
        </w:tc>
        <w:tc>
          <w:tcPr>
            <w:tcW w:w="6588" w:type="dxa"/>
          </w:tcPr>
          <w:p w:rsidR="00BD06C1" w:rsidRPr="0069662C" w:rsidRDefault="00BD06C1" w:rsidP="00BD06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662C">
              <w:rPr>
                <w:color w:val="000000"/>
                <w:sz w:val="20"/>
                <w:szCs w:val="20"/>
              </w:rPr>
              <w:t>Allergic disorders</w:t>
            </w:r>
          </w:p>
        </w:tc>
      </w:tr>
    </w:tbl>
    <w:p w:rsidR="00BD06C1" w:rsidRDefault="00BD06C1" w:rsidP="009F0930">
      <w:pPr>
        <w:spacing w:after="0" w:line="240" w:lineRule="auto"/>
        <w:rPr>
          <w:b/>
          <w:sz w:val="20"/>
          <w:szCs w:val="20"/>
        </w:rPr>
      </w:pPr>
    </w:p>
    <w:p w:rsidR="00907445" w:rsidRDefault="00907445" w:rsidP="00907445">
      <w:pPr>
        <w:spacing w:after="0" w:line="240" w:lineRule="auto"/>
        <w:rPr>
          <w:b/>
          <w:sz w:val="20"/>
          <w:szCs w:val="20"/>
        </w:rPr>
      </w:pPr>
    </w:p>
    <w:p w:rsidR="00B15F8A" w:rsidRDefault="00B15F8A" w:rsidP="00907445">
      <w:pPr>
        <w:spacing w:after="0" w:line="240" w:lineRule="auto"/>
        <w:rPr>
          <w:b/>
          <w:sz w:val="20"/>
          <w:szCs w:val="20"/>
        </w:rPr>
      </w:pPr>
    </w:p>
    <w:p w:rsidR="00B15F8A" w:rsidRDefault="00B15F8A" w:rsidP="00907445">
      <w:pPr>
        <w:spacing w:after="0" w:line="240" w:lineRule="auto"/>
        <w:rPr>
          <w:b/>
          <w:sz w:val="20"/>
          <w:szCs w:val="20"/>
        </w:rPr>
      </w:pPr>
    </w:p>
    <w:p w:rsidR="00B15F8A" w:rsidRDefault="00B15F8A" w:rsidP="00907445">
      <w:pPr>
        <w:spacing w:after="0" w:line="240" w:lineRule="auto"/>
        <w:rPr>
          <w:b/>
          <w:sz w:val="20"/>
          <w:szCs w:val="20"/>
        </w:rPr>
      </w:pPr>
    </w:p>
    <w:p w:rsidR="00B15F8A" w:rsidRDefault="00B15F8A" w:rsidP="00907445">
      <w:pPr>
        <w:spacing w:after="0" w:line="240" w:lineRule="auto"/>
        <w:rPr>
          <w:b/>
          <w:sz w:val="20"/>
          <w:szCs w:val="20"/>
        </w:rPr>
      </w:pPr>
    </w:p>
    <w:p w:rsidR="00B15F8A" w:rsidRPr="00424ABB" w:rsidRDefault="00B15F8A" w:rsidP="00907445">
      <w:pPr>
        <w:spacing w:after="0" w:line="240" w:lineRule="auto"/>
        <w:rPr>
          <w:b/>
          <w:sz w:val="20"/>
          <w:szCs w:val="20"/>
        </w:rPr>
      </w:pPr>
    </w:p>
    <w:p w:rsidR="00907445" w:rsidRPr="00424ABB" w:rsidRDefault="00F24538" w:rsidP="00907445">
      <w:pPr>
        <w:spacing w:after="0" w:line="240" w:lineRule="auto"/>
        <w:rPr>
          <w:b/>
        </w:rPr>
      </w:pPr>
      <w:r w:rsidRPr="00424ABB">
        <w:rPr>
          <w:b/>
        </w:rPr>
        <w:t xml:space="preserve">Table </w:t>
      </w:r>
      <w:r w:rsidR="00B15F8A">
        <w:rPr>
          <w:b/>
        </w:rPr>
        <w:t>4</w:t>
      </w:r>
      <w:r w:rsidRPr="00424ABB">
        <w:rPr>
          <w:b/>
        </w:rPr>
        <w:t>:</w:t>
      </w:r>
    </w:p>
    <w:tbl>
      <w:tblPr>
        <w:tblStyle w:val="TableGrid"/>
        <w:tblW w:w="9558" w:type="dxa"/>
        <w:tblLook w:val="04A0"/>
      </w:tblPr>
      <w:tblGrid>
        <w:gridCol w:w="2988"/>
        <w:gridCol w:w="6570"/>
      </w:tblGrid>
      <w:tr w:rsidR="00FE5C42" w:rsidRPr="00424ABB" w:rsidTr="00FE5C42">
        <w:trPr>
          <w:trHeight w:val="300"/>
        </w:trPr>
        <w:tc>
          <w:tcPr>
            <w:tcW w:w="9558" w:type="dxa"/>
            <w:gridSpan w:val="2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b/>
                <w:sz w:val="20"/>
                <w:szCs w:val="20"/>
              </w:rPr>
              <w:t>Control Exclusionary ICD9 Codes.</w:t>
            </w:r>
            <w:r w:rsidRPr="00424ABB">
              <w:rPr>
                <w:sz w:val="20"/>
                <w:szCs w:val="20"/>
              </w:rPr>
              <w:t xml:space="preserve"> 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E05431">
            <w:pPr>
              <w:rPr>
                <w:b/>
                <w:sz w:val="20"/>
                <w:szCs w:val="20"/>
              </w:rPr>
            </w:pPr>
            <w:r w:rsidRPr="00424ABB">
              <w:rPr>
                <w:b/>
                <w:sz w:val="20"/>
                <w:szCs w:val="20"/>
              </w:rPr>
              <w:t>ICD-9 Codes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E05431">
            <w:pPr>
              <w:rPr>
                <w:b/>
                <w:sz w:val="20"/>
                <w:szCs w:val="20"/>
              </w:rPr>
            </w:pPr>
            <w:r w:rsidRPr="00424ABB">
              <w:rPr>
                <w:b/>
                <w:sz w:val="20"/>
                <w:szCs w:val="20"/>
              </w:rPr>
              <w:t xml:space="preserve">Diagnosis 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212.3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BENIGN NEO BRONCHUS/LUNG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238.77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POST-TRANSPLANT LYMPHOPROLIFERATIVE DISOR (PTLD)</w:t>
            </w:r>
          </w:p>
        </w:tc>
      </w:tr>
      <w:tr w:rsidR="009D0C2E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9D0C2E" w:rsidRPr="00424ABB" w:rsidRDefault="009D0C2E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273.4</w:t>
            </w:r>
          </w:p>
        </w:tc>
        <w:tc>
          <w:tcPr>
            <w:tcW w:w="6570" w:type="dxa"/>
            <w:noWrap/>
            <w:hideMark/>
          </w:tcPr>
          <w:p w:rsidR="009D0C2E" w:rsidRPr="00424ABB" w:rsidRDefault="009D0C2E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ALPHA 1 ANTITRYPSIN DEFICIENCY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CYSTIC FIBROS W/O ILEUS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277.01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CYSTIC FIRBOSIS W ILEUS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277.02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CYSTIC FIBROSIS WITH PULMONARY MANIFESTATION 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277.03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CYSTIC FIBROSIS W GASTROINTESTINAL MANIFEST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277.09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CYSTIC FIBROSIS WITH OTHER MANIFESTATIONS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DIS PORPHYRIN METABOLISM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AMYLOIDOSIS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AMYLOIDOSIS, UNSPECIFIED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277.39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OTHER AMYLOIDOSIS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277.5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MUCOPOLYSACCHARIDOSIS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DEFIC CIRCUL ENZYME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METABOLISM DISORDER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277.87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DISORDERS OF MITOCHONDRIAL METABOLISM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277.88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TUMOR LYSIS SYNDROME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279.4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AUTOIMMUNE DISEASE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AUTOIMMUN HEMOLYTIC ANEM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283.1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NON-AUTOIMMUNE HEMOLYTIC ANEMIA UNSPEC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283.11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HEMOLYTIC-UREMIC SYNDROME 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283.19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OTHER NON-AUTOIMMUNE HEMOLYTIC ANEMIA 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ALLERGIC PURPURA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372.14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 ALLRG CONJUNCTIV NEC</w:t>
            </w:r>
          </w:p>
        </w:tc>
      </w:tr>
      <w:tr w:rsidR="00B372BB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B372BB" w:rsidRPr="00424ABB" w:rsidRDefault="00B372BB" w:rsidP="00B372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570" w:type="dxa"/>
            <w:noWrap/>
            <w:hideMark/>
          </w:tcPr>
          <w:p w:rsidR="00B372BB" w:rsidRPr="00424A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ACUTE PULM HEART DIS</w:t>
            </w:r>
          </w:p>
        </w:tc>
      </w:tr>
      <w:tr w:rsidR="00B372BB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B372BB" w:rsidRPr="00424A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415.0</w:t>
            </w:r>
          </w:p>
        </w:tc>
        <w:tc>
          <w:tcPr>
            <w:tcW w:w="6570" w:type="dxa"/>
            <w:noWrap/>
            <w:hideMark/>
          </w:tcPr>
          <w:p w:rsidR="00B372BB" w:rsidRPr="00424A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ACUTE COR PULM</w:t>
            </w:r>
          </w:p>
        </w:tc>
      </w:tr>
      <w:tr w:rsidR="00B372BB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B372BB" w:rsidRPr="00424A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415.1</w:t>
            </w:r>
          </w:p>
        </w:tc>
        <w:tc>
          <w:tcPr>
            <w:tcW w:w="6570" w:type="dxa"/>
            <w:noWrap/>
            <w:hideMark/>
          </w:tcPr>
          <w:p w:rsidR="00B372BB" w:rsidRPr="00424A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PULM EMBOLISM AND INF</w:t>
            </w:r>
          </w:p>
        </w:tc>
      </w:tr>
      <w:tr w:rsidR="00B372BB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B372BB" w:rsidRPr="00424A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415.11</w:t>
            </w:r>
          </w:p>
        </w:tc>
        <w:tc>
          <w:tcPr>
            <w:tcW w:w="6570" w:type="dxa"/>
            <w:noWrap/>
            <w:hideMark/>
          </w:tcPr>
          <w:p w:rsidR="00B372BB" w:rsidRPr="00424A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IATROGENIC PULM EMB AND INF</w:t>
            </w:r>
          </w:p>
        </w:tc>
      </w:tr>
      <w:tr w:rsidR="00B372BB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B372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415.12</w:t>
            </w:r>
          </w:p>
        </w:tc>
        <w:tc>
          <w:tcPr>
            <w:tcW w:w="6570" w:type="dxa"/>
            <w:noWrap/>
            <w:hideMark/>
          </w:tcPr>
          <w:p w:rsidR="00B372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SEPTIC PULMONARY  EMB</w:t>
            </w:r>
          </w:p>
        </w:tc>
      </w:tr>
      <w:tr w:rsidR="00B372BB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B372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415.13</w:t>
            </w:r>
          </w:p>
        </w:tc>
        <w:tc>
          <w:tcPr>
            <w:tcW w:w="6570" w:type="dxa"/>
            <w:noWrap/>
            <w:hideMark/>
          </w:tcPr>
          <w:p w:rsidR="00B372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SADDLE EMBOLUS OF PULM ARTERY</w:t>
            </w:r>
          </w:p>
        </w:tc>
      </w:tr>
      <w:tr w:rsidR="00B372BB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B372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415.19</w:t>
            </w:r>
          </w:p>
        </w:tc>
        <w:tc>
          <w:tcPr>
            <w:tcW w:w="6570" w:type="dxa"/>
            <w:noWrap/>
            <w:hideMark/>
          </w:tcPr>
          <w:p w:rsidR="00B372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OTHER PULM EMB AND INF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B15F8A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CHRONIC PULMONARY HEART DIS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416</w:t>
            </w:r>
            <w:r w:rsidR="00B15F8A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PRIMARY PULMONARY HTN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416.1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KYPHOSCOLIOTIC HEART DIS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416.2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CHRONIC PULMONARY EMBOLISM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416.8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 PULMON HEART DIS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416.9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 PULMON HEART DIS NOS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464.11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AC TRACHEITIS W OBSTRUCT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464.3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AC EPIGLOTTITIS NO OBSTR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466.11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ACUTE BRONCHIOLITIS DUE TO RSV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CHRONIC RHINITIS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ALLERGIC RHINITIS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472.2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CHRONIC NASOPHARYNGITIS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474.01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CHRONIC ADENOIDITIS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474.2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ADENOID VEGETATIONS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476.1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 LARYNGOTRACHEITIS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477.1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ALLERGIC RHINITIS, DUE TO FOOD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477.2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ALLERGIC RHINITIS, D/T ANIMAL HAIR &amp; DANDER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477.8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ALLERGIC RHINITIS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477.9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ALLERGIC RHINITIS NOS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478.11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NASAL MUCOSITIS (ULCERATIVE)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478.21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CELLULITIS OF PHARYNX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478.22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PARAPHARYNGEAL ABSCESS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478.24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RETROPHARYNGEAL ABSCESS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478.25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EDEMA PHARYNX/NASOPHARYX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478.26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CYST PHARYNX/NASOPHARYNX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478.32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VOCAL PARAL UNILAT TOTAL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478.33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VOCAL PARAL BILAT PART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478.34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VOCAL PARAL BILAT TOTAL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478.74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STENOSIS OF LARYNX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URT HYPERSENS REACT NOS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478.9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UPPER RESP DIS NEC/NOS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ADENOVIRAL PNEUMONIA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RESP SYNCYT VIRAL PNEUM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480.2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PARINFLUENZA VIRAL PNEUM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480.8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VIRAL PNEUMONIA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K. PNEUMONIAE PNEUMONIA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PSEUDOMONAL PNEUMONIA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STREPTOCOCCUS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STREPTOCOCCUS, UNSPECIFIED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482.31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GROUP A STREPTOCOCCUS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482.39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OTHER STREPTOCOCCUS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STAPHYLOCOCCAL PNEUMONIA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PNEUMONIA DUE TO STAPHYLOCOCCUS, UNSPECIFIED 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482.42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METHICILLIN RESIST PNEUMONIA DUE TO STAPH AUREUS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482.8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OTHER SPECIFIED BACTERIA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482.81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ANAEROBES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482.82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ESCHERICHIA COLI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482.83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OTHER GRAM-NEGATIVE BACTERIA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482.84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LEGIONNAIRES' DISEASE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482.89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OTHER SPECIFIED BACTERIA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483.1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CHLAMYDIA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483.8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DUE TO OTHER SPECIFIED ORGANISM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484.1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 W CYTOMEG INCL DIS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484.3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PNEUMONIA IN WHOOP COUGH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484.6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 IN ASPERGILLOSIS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484.7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 IN OTH SYS MYCOSES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484.8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 IN INFECT DIS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INFLUENZA DUE TO IDENTIFIED AVIAN INFLUENZA VIRUS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488.1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INFLUENZA DUE TO H NINFLUENZA VIRUS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491.2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OBSTRUCTIVE CHRONIC BRONCHITIS W/O EXACERBAT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491.22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OBSTRUCTIVE CHRONIC BRONCHITIS WITH AC BRONC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491.8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CHRONIC BRONCHITIS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492.8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EMPHYSEMA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BRONCHIECTASIS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BRONCHIECTASIS W/O ACUTE EXACERBATION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494.1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BRONCHIECTASIS WITH ACUTE EXACERBATION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FARMERS' LUNG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MYCOTOXICOSIS/ORGANIC DUST TOXIC SYNDROME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495.1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BAGASSOSIS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495.2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BIRD-FANCIERS' LUNG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495.5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MUSHROOM WORKERS' LUNG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495.8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 ALVEOL/PNEUM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495.9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 ALVEOL/PNEUM NOS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 AIRWAY OBSTRUCT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 AIRWAY OBSTRUCT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COAL WORKERS' PNEUMOCONIOSIS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COAL WORKERS' PNEUMOCON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ASBESTOSIS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SILICA PNEUMOCON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INORG DUST PNEUMOCON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PNEUMOCONIOSIS NOS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PNEUMOCONIOSIS NOS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FUM/VAPOR BRONC/PNEUMON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506.1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FUM/VAPOR AC PULM EDEMA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506.2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FUM/VAPOR UP RESP INFLAM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506.3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FUM/VAP AC RESP COND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506.4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FUM/VAPOR CHR RESP COND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507.1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OIL/ESSENCE PNEUMONITIS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507.8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SOLID/LIQ PNEUMONIT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508.1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CHR PUL MANIF D/T RADIAT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508.8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RESP COND: EXT AGENT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508.9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RESP COND: EXT AGENT NOS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EMPYEMA WITH FISTULA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511.1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BACT PLEUR/EFFUS NOT TB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511.81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MALIGNANT PLEURAL EFFUSION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SPONT TENS PNEUMOTHORAX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512.89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OTHER PNEUMOTHORAX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513.1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ABSCESS OF MEDIASTINUM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516.1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IDIO PULM HEMOSIDEROSIS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516.31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IDIOPATHIC PULMONARY FIBROSIS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516.34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RESPIRATORY BRONCHIOLITIS INTERSTITIAL LUNG DIS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516.4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LYMPHANGIOLEIOMYOMATOSIS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516.5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ADULT PULMONARY LANGERHANS CELL HISTIOCYTOSIS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516.8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BRONCHIOLITIS OBLITERANS WITH ORGANIZING PNEUMONIA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516.9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ALVEOL PNEUMONOPATHY NOS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517.1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RHEUMATIC PNEUMONIA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SYST SCLEROSIS LUNG DIS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518.1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INTERSTITIAL EMPHYSEMA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518.51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ACUTE RESPIRATORY FAILURE FOLLOW TRAUMA &amp; SURGERY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518.52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OTH PULMONARY INSUFFIC, NEC, FOLLOW TRAUMA &amp; SURG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518.6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ALLERGIC BRONCHOPULMONARY ASPERGILLOSIS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518.7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TRANSFUSION RELATED ACUTE LUNG INJURY (TRALI)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518.801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COIN LESION LUNG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518.81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RESPIRATORY FAILURE ACUTE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518.811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RESPIRATORY FAILURE CHRONIC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518.89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SOLITARY PLUMONARY NODULE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TRACHEOSTOMY COMPLIC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UNSPECIFIED TRACHEOSTOMY COMPLICATION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519.01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INFECTION OF TRACHEOSTOMY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519.02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MECHANICAL COMPLICATION OF TRACHEOSTOMY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519.09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OTHER TRACHEOSTOMY COMPLICATION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519.11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ACUTE BRONCHOSPASM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519.2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MEDIASTINITIS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519.3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MEDIASTINUM DISEASE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519.6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DELETED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RESP SYSTEM DISEASE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519.9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RESP SYSTEM DISEASE NOS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519.9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RECURRENT RESPIRATORY INFECTIONS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525.66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ALLERGY TO EXISTING DENTAL RESTORATIVE MATERIAL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REG ENTERITIS, SM INTEST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IDIOPATHIC PROCTOCOLITIS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ULCERATIVE ENTEROCOLITIS 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571.42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AUTOIMMUNE HEPATITIS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ALLERGIC URTICARIA</w:t>
            </w:r>
          </w:p>
        </w:tc>
      </w:tr>
      <w:tr w:rsidR="00B372BB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B372BB" w:rsidRPr="00424A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6570" w:type="dxa"/>
            <w:noWrap/>
            <w:hideMark/>
          </w:tcPr>
          <w:p w:rsidR="00B372BB" w:rsidRPr="00424ABB" w:rsidRDefault="00B372BB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RHEUMATOID ARTHRITIS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748.4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CONGENITAL CYSTIC LUNG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748.5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AGENESIS OF LUNG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751.61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BILIARY ATRESIA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RESPIRATORY DISTRESS SYN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RESPIRATORY DISTRESS SYN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995.3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ALLERGY, UNSPECIFIED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996.8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COMPLICATIONS OF TRANSPLANTED ORGAN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E878.0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E ABN REACT-ORG TRANSPLANT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V14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PERSONAL HISTORY OF ALLERGY TO MEDICINAL AGENTS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V15.0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 HX OF ALLERGY NEC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V15.01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 ALLERGY TO PEANUTS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V15.03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 ALLERGY TO EGGS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V15.09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 OTHER ALLERGY, OTH THAN TO MEDICINAL AGENTS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V19.6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 FAMILY HX-ALLERGIC DIS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V42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ORGAN OR TISSUE REPLACED BY TRANSPLANT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V49.83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 AWAITING ORGAN TRANSPLANT STATUS </w:t>
            </w:r>
          </w:p>
        </w:tc>
      </w:tr>
      <w:tr w:rsidR="00FE5C42" w:rsidRPr="00424ABB" w:rsidTr="00FE5C42">
        <w:trPr>
          <w:trHeight w:val="300"/>
        </w:trPr>
        <w:tc>
          <w:tcPr>
            <w:tcW w:w="2988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V58.44</w:t>
            </w:r>
          </w:p>
        </w:tc>
        <w:tc>
          <w:tcPr>
            <w:tcW w:w="6570" w:type="dxa"/>
            <w:noWrap/>
            <w:hideMark/>
          </w:tcPr>
          <w:p w:rsidR="00FE5C42" w:rsidRPr="00424ABB" w:rsidRDefault="00FE5C42" w:rsidP="00FE5C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24ABB">
              <w:rPr>
                <w:rFonts w:eastAsia="Times New Roman" w:cs="Times New Roman"/>
                <w:color w:val="000000"/>
                <w:sz w:val="20"/>
                <w:szCs w:val="20"/>
              </w:rPr>
              <w:t>V AFTERCARE FOLLOWING ORGAN TRANSPLANT</w:t>
            </w:r>
          </w:p>
        </w:tc>
      </w:tr>
    </w:tbl>
    <w:p w:rsidR="00907445" w:rsidRPr="00424ABB" w:rsidRDefault="00907445" w:rsidP="00907445">
      <w:pPr>
        <w:spacing w:after="0" w:line="240" w:lineRule="auto"/>
        <w:rPr>
          <w:sz w:val="20"/>
          <w:szCs w:val="20"/>
        </w:rPr>
      </w:pPr>
    </w:p>
    <w:p w:rsidR="00E9431E" w:rsidRPr="00424ABB" w:rsidRDefault="00E9431E" w:rsidP="00907445">
      <w:pPr>
        <w:spacing w:after="0" w:line="240" w:lineRule="auto"/>
        <w:rPr>
          <w:sz w:val="20"/>
          <w:szCs w:val="20"/>
        </w:rPr>
      </w:pPr>
      <w:r w:rsidRPr="00424ABB">
        <w:rPr>
          <w:sz w:val="20"/>
          <w:szCs w:val="20"/>
        </w:rPr>
        <w:t xml:space="preserve">The attached data </w:t>
      </w:r>
      <w:r w:rsidR="00AF5D85" w:rsidRPr="00424ABB">
        <w:rPr>
          <w:sz w:val="20"/>
          <w:szCs w:val="20"/>
        </w:rPr>
        <w:t>dictionary</w:t>
      </w:r>
      <w:r w:rsidRPr="00424ABB">
        <w:rPr>
          <w:sz w:val="20"/>
          <w:szCs w:val="20"/>
        </w:rPr>
        <w:t xml:space="preserve"> defines the values that should be returned. The flow</w:t>
      </w:r>
      <w:r w:rsidR="00FE5C42" w:rsidRPr="00424ABB">
        <w:rPr>
          <w:sz w:val="20"/>
          <w:szCs w:val="20"/>
        </w:rPr>
        <w:t xml:space="preserve"> </w:t>
      </w:r>
      <w:r w:rsidRPr="00424ABB">
        <w:rPr>
          <w:sz w:val="20"/>
          <w:szCs w:val="20"/>
        </w:rPr>
        <w:t xml:space="preserve">chart, below, provides an outline of the algorithm and </w:t>
      </w:r>
      <w:r w:rsidR="00AF5D85" w:rsidRPr="00424ABB">
        <w:rPr>
          <w:sz w:val="20"/>
          <w:szCs w:val="20"/>
        </w:rPr>
        <w:t>relevant</w:t>
      </w:r>
      <w:r w:rsidRPr="00424ABB">
        <w:rPr>
          <w:sz w:val="20"/>
          <w:szCs w:val="20"/>
        </w:rPr>
        <w:t xml:space="preserve"> analytical components. </w:t>
      </w:r>
    </w:p>
    <w:p w:rsidR="00E9431E" w:rsidRDefault="00E9431E">
      <w:r>
        <w:br w:type="page"/>
      </w:r>
    </w:p>
    <w:p w:rsidR="009F1930" w:rsidRPr="00E9431E" w:rsidRDefault="00775616" w:rsidP="00907445">
      <w:pPr>
        <w:spacing w:after="0" w:line="240" w:lineRule="auto"/>
      </w:pPr>
      <w:r>
        <w:rPr>
          <w:noProof/>
        </w:rPr>
        <w:lastRenderedPageBreak/>
        <w:pict>
          <v:group id="_x0000_s1026" style="position:absolute;margin-left:-42.95pt;margin-top:-25.7pt;width:547.5pt;height:696.95pt;z-index:251768832" coordorigin="581,926" coordsize="10950,139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95;top:1856;width:1;height:9949;flip:y" o:connectortype="straight" strokecolor="#9bbb59" strokeweight="2.5pt">
              <v:shadow color="#868686"/>
            </v:shape>
            <v:group id="_x0000_s1028" style="position:absolute;left:581;top:926;width:10950;height:930" coordorigin="1230,585" coordsize="9375,930">
              <v:roundrect id="_x0000_s1029" style="position:absolute;left:1230;top:585;width:9375;height:930" arcsize="10923f" fillcolor="#9bbb59" strokecolor="#f2f2f2" strokeweight="3pt">
                <v:shadow on="t" type="perspective" color="#4e6128" opacity=".5" offset="1pt" offset2="-1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326;top:843;width:5184;height:413;mso-width-percent:400;mso-width-percent:400;mso-width-relative:margin;mso-height-relative:margin" filled="f" stroked="f">
                <v:textbox style="mso-next-textbox:#_x0000_s1030">
                  <w:txbxContent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EMRs</w:t>
                      </w:r>
                    </w:p>
                  </w:txbxContent>
                </v:textbox>
              </v:shape>
            </v:group>
            <v:group id="_x0000_s1031" style="position:absolute;left:4680;top:2517;width:2850;height:1067" coordorigin="8344,2578" coordsize="3127,1067">
              <v:roundrect id="_x0000_s1032" style="position:absolute;left:8344;top:2578;width:3127;height:1067" arcsize="10923f" fillcolor="#9bbb59" strokecolor="#f2f2f2" strokeweight="3pt">
                <v:shadow on="t" type="perspective" color="#4e6128" opacity=".5" offset="1pt" offset2="-1pt"/>
              </v:roundrect>
              <v:shape id="_x0000_s1033" type="#_x0000_t202" style="position:absolute;left:9064;top:2632;width:1688;height:960;mso-width-relative:margin;mso-height-relative:margin" filled="f" stroked="f">
                <v:textbox style="mso-next-textbox:#_x0000_s1033">
                  <w:txbxContent>
                    <w:p w:rsidR="00E05431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Race</w:t>
                      </w:r>
                      <w:r w:rsidRPr="00CD4BC6">
                        <w:rPr>
                          <w:rFonts w:ascii="Calibri" w:eastAsia="Calibri" w:hAnsi="Calibri" w:cs="Times New Roman"/>
                          <w:color w:val="FFFFFF"/>
                        </w:rPr>
                        <w:t xml:space="preserve"> </w:t>
                      </w:r>
                    </w:p>
                    <w:p w:rsidR="00E05431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 w:rsidRPr="00CD4BC6">
                        <w:rPr>
                          <w:rFonts w:ascii="Calibri" w:eastAsia="Calibri" w:hAnsi="Calibri" w:cs="Times New Roman"/>
                          <w:color w:val="FFFFFF"/>
                        </w:rPr>
                        <w:t>BMI</w:t>
                      </w:r>
                    </w:p>
                    <w:p w:rsidR="00E05431" w:rsidRPr="00CD4BC6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Zip code</w:t>
                      </w:r>
                    </w:p>
                  </w:txbxContent>
                </v:textbox>
              </v:shape>
            </v:group>
            <v:group id="_x0000_s1034" style="position:absolute;left:1221;top:2517;width:2541;height:930" coordorigin="635,2579" coordsize="3127,930">
              <v:roundrect id="_x0000_s1035" style="position:absolute;left:635;top:2579;width:3127;height:930" arcsize="10923f" fillcolor="#9bbb59" strokecolor="#f2f2f2" strokeweight="3pt">
                <v:shadow on="t" type="perspective" color="#4e6128" opacity=".5" offset="1pt" offset2="-1pt"/>
              </v:roundrect>
              <v:shape id="_x0000_s1036" type="#_x0000_t202" style="position:absolute;left:1221;top:2837;width:1955;height:413;mso-width-relative:margin;mso-height-relative:margin" filled="f" stroked="f">
                <v:textbox style="mso-next-textbox:#_x0000_s1036">
                  <w:txbxContent>
                    <w:p w:rsidR="00E05431" w:rsidRDefault="00E05431" w:rsidP="00E9431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Diagnostic Criteria</w:t>
                      </w:r>
                    </w:p>
                  </w:txbxContent>
                </v:textbox>
              </v:shape>
            </v:group>
            <v:shape id="_x0000_s1037" type="#_x0000_t32" style="position:absolute;left:2432;top:3509;width:1;height:1201" o:connectortype="straight" strokecolor="#9bbb59" strokeweight="2.5pt">
              <v:stroke endarrow="block"/>
              <v:shadow color="#868686"/>
            </v:shape>
            <v:shape id="_x0000_s1038" type="#_x0000_t202" style="position:absolute;left:2358;top:3524;width:1021;height:405;mso-width-relative:margin;mso-height-relative:margin" filled="f" stroked="f" strokecolor="#9bbb59" strokeweight="1pt">
              <v:stroke dashstyle="dash"/>
              <v:shadow color="#868686"/>
              <v:textbox style="mso-next-textbox:#_x0000_s1038">
                <w:txbxContent>
                  <w:p w:rsidR="00E05431" w:rsidRPr="006847F2" w:rsidRDefault="00E05431" w:rsidP="00E9431E">
                    <w:pPr>
                      <w:rPr>
                        <w:rFonts w:ascii="Calibri" w:eastAsia="Calibri" w:hAnsi="Calibri" w:cs="Times New Roman"/>
                        <w:color w:val="00B050"/>
                      </w:rPr>
                    </w:pPr>
                    <w:proofErr w:type="gramStart"/>
                    <w:r>
                      <w:rPr>
                        <w:rFonts w:ascii="Calibri" w:eastAsia="Calibri" w:hAnsi="Calibri" w:cs="Times New Roman"/>
                        <w:color w:val="00B050"/>
                      </w:rPr>
                      <w:t>for</w:t>
                    </w:r>
                    <w:proofErr w:type="gramEnd"/>
                  </w:p>
                </w:txbxContent>
              </v:textbox>
            </v:shape>
            <v:shape id="_x0000_s1039" type="#_x0000_t32" style="position:absolute;left:5608;top:1275;width:1;height:1242" o:connectortype="straight" strokecolor="#9bbb59" strokeweight="2.5pt">
              <v:stroke endarrow="block"/>
              <v:shadow color="#868686"/>
            </v:shape>
            <v:shape id="_x0000_s1040" type="#_x0000_t32" style="position:absolute;left:2433;top:1856;width:3175;height:776;flip:x" o:connectortype="straight" strokecolor="#9bbb59" strokeweight="2.5pt">
              <v:stroke endarrow="block"/>
              <v:shadow color="#868686"/>
            </v:shape>
            <v:shape id="_x0000_s1041" type="#_x0000_t32" style="position:absolute;left:2433;top:3509;width:6162;height:1201" o:connectortype="straight" strokecolor="#9bbb59" strokeweight="2.5pt">
              <v:stroke endarrow="block"/>
              <v:shadow color="#868686"/>
            </v:shape>
            <v:shape id="_x0000_s1042" type="#_x0000_t32" style="position:absolute;left:5608;top:1856;width:4338;height:776" o:connectortype="straight" strokecolor="#9bbb59" strokeweight="2.5pt">
              <v:stroke endarrow="block"/>
              <v:shadow color="#868686"/>
            </v:shape>
            <v:shape id="_x0000_s1043" type="#_x0000_t202" style="position:absolute;left:5551;top:1980;width:1021;height:405;mso-width-relative:margin;mso-height-relative:margin" filled="f" stroked="f" strokecolor="#9bbb59" strokeweight="1pt">
              <v:stroke dashstyle="dash"/>
              <v:shadow color="#868686"/>
              <v:textbox style="mso-next-textbox:#_x0000_s1043">
                <w:txbxContent>
                  <w:p w:rsidR="00E05431" w:rsidRPr="006847F2" w:rsidRDefault="00E05431" w:rsidP="00E9431E">
                    <w:pPr>
                      <w:rPr>
                        <w:rFonts w:ascii="Calibri" w:eastAsia="Calibri" w:hAnsi="Calibri" w:cs="Times New Roman"/>
                        <w:color w:val="00B050"/>
                      </w:rPr>
                    </w:pPr>
                    <w:proofErr w:type="gramStart"/>
                    <w:r>
                      <w:rPr>
                        <w:rFonts w:ascii="Calibri" w:eastAsia="Calibri" w:hAnsi="Calibri" w:cs="Times New Roman"/>
                        <w:color w:val="00B050"/>
                      </w:rPr>
                      <w:t>include</w:t>
                    </w:r>
                    <w:proofErr w:type="gramEnd"/>
                  </w:p>
                </w:txbxContent>
              </v:textbox>
            </v:shape>
            <v:shape id="_x0000_s1044" type="#_x0000_t32" style="position:absolute;left:4569;top:6906;width:1725;height:1" o:connectortype="straight" strokecolor="#9bbb59" strokeweight="2.5pt">
              <v:stroke endarrow="block"/>
              <v:shadow color="#868686"/>
            </v:shape>
            <v:shape id="_x0000_s1045" type="#_x0000_t32" style="position:absolute;left:2835;top:7350;width:0;height:2001" o:connectortype="straight" strokecolor="#9bbb59" strokeweight="2.5pt">
              <v:stroke endarrow="block"/>
              <v:shadow color="#868686"/>
            </v:shape>
            <v:shape id="_x0000_s1046" type="#_x0000_t32" style="position:absolute;left:3681;top:7350;width:1;height:567" o:connectortype="straight" strokecolor="#9bbb59" strokeweight="2.5pt">
              <v:stroke endarrow="block"/>
              <v:shadow color="#868686"/>
            </v:shape>
            <v:shape id="_x0000_s1047" type="#_x0000_t202" style="position:absolute;left:4680;top:6546;width:1574;height:405;mso-width-relative:margin;mso-height-relative:margin" filled="f" stroked="f" strokecolor="#9bbb59" strokeweight="1pt">
              <v:stroke dashstyle="dash"/>
              <v:shadow color="#868686"/>
              <v:textbox style="mso-next-textbox:#_x0000_s1047">
                <w:txbxContent>
                  <w:p w:rsidR="00E05431" w:rsidRPr="006847F2" w:rsidRDefault="00E05431" w:rsidP="00E9431E">
                    <w:pPr>
                      <w:rPr>
                        <w:rFonts w:ascii="Calibri" w:eastAsia="Calibri" w:hAnsi="Calibri" w:cs="Times New Roman"/>
                        <w:color w:val="00B050"/>
                      </w:rPr>
                    </w:pPr>
                    <w:r>
                      <w:rPr>
                        <w:rFonts w:ascii="Calibri" w:eastAsia="Calibri" w:hAnsi="Calibri" w:cs="Times New Roman"/>
                        <w:color w:val="00B050"/>
                      </w:rPr>
                      <w:t>If No, exclude</w:t>
                    </w:r>
                  </w:p>
                </w:txbxContent>
              </v:textbox>
            </v:shape>
            <v:shape id="_x0000_s1048" type="#_x0000_t32" style="position:absolute;left:5308;top:9870;width:1264;height:801" o:connectortype="straight" strokecolor="#9bbb59" strokeweight="2.5pt">
              <v:stroke endarrow="block"/>
              <v:shadow color="#868686"/>
            </v:shape>
            <v:shape id="_x0000_s1049" type="#_x0000_t32" style="position:absolute;left:2648;top:11710;width:0;height:1140" o:connectortype="straight" strokecolor="#9bbb59" strokeweight="2.5pt">
              <v:stroke endarrow="block"/>
              <v:shadow color="#868686"/>
            </v:shape>
            <v:shape id="_x0000_s1050" type="#_x0000_t32" style="position:absolute;left:4268;top:10450;width:0;height:3485" o:connectortype="straight" strokecolor="#9bbb59" strokeweight="2.5pt">
              <v:stroke endarrow="block"/>
              <v:shadow color="#868686"/>
            </v:shape>
            <v:shape id="_x0000_s1051" type="#_x0000_t32" style="position:absolute;left:7800;top:11535;width:1681;height:2295" o:connectortype="straight" strokecolor="#9bbb59" strokeweight="2.5pt">
              <v:stroke endarrow="block"/>
              <v:shadow color="#868686"/>
            </v:shape>
            <v:shape id="_x0000_s1052" type="#_x0000_t32" style="position:absolute;left:5928;top:8399;width:2090;height:1471" o:connectortype="straight" strokecolor="#9bbb59" strokeweight="2.5pt">
              <v:stroke endarrow="block"/>
              <v:shadow color="#868686"/>
            </v:shape>
            <v:shape id="_x0000_s1053" type="#_x0000_t202" style="position:absolute;left:6774;top:9191;width:678;height:405;mso-width-relative:margin;mso-height-relative:margin" filled="f" stroked="f" strokecolor="#9bbb59" strokeweight="1pt">
              <v:stroke dashstyle="dash"/>
              <v:shadow color="#868686"/>
              <v:textbox style="mso-next-textbox:#_x0000_s1053">
                <w:txbxContent>
                  <w:p w:rsidR="00E05431" w:rsidRPr="006847F2" w:rsidRDefault="00E05431" w:rsidP="00E9431E">
                    <w:pPr>
                      <w:rPr>
                        <w:rFonts w:ascii="Calibri" w:eastAsia="Calibri" w:hAnsi="Calibri" w:cs="Times New Roman"/>
                        <w:color w:val="00B050"/>
                      </w:rPr>
                    </w:pPr>
                    <w:r w:rsidRPr="006847F2">
                      <w:rPr>
                        <w:rFonts w:ascii="Calibri" w:eastAsia="Calibri" w:hAnsi="Calibri" w:cs="Times New Roman"/>
                        <w:color w:val="00B050"/>
                      </w:rPr>
                      <w:t>Yes</w:t>
                    </w:r>
                  </w:p>
                </w:txbxContent>
              </v:textbox>
            </v:shape>
            <v:shape id="_x0000_s1054" type="#_x0000_t32" style="position:absolute;left:5928;top:8399;width:1996;height:349" o:connectortype="straight" strokecolor="#9bbb59" strokeweight="2.5pt">
              <v:stroke endarrow="block"/>
              <v:shadow color="#868686"/>
            </v:shape>
            <v:shape id="_x0000_s1055" type="#_x0000_t202" style="position:absolute;left:6939;top:8283;width:678;height:405;mso-width-relative:margin;mso-height-relative:margin" filled="f" stroked="f" strokecolor="#9bbb59" strokeweight="1pt">
              <v:stroke dashstyle="dash"/>
              <v:shadow color="#868686"/>
              <v:textbox style="mso-next-textbox:#_x0000_s1055">
                <w:txbxContent>
                  <w:p w:rsidR="00E05431" w:rsidRPr="006847F2" w:rsidRDefault="00E05431" w:rsidP="00E9431E">
                    <w:pPr>
                      <w:rPr>
                        <w:rFonts w:ascii="Calibri" w:eastAsia="Calibri" w:hAnsi="Calibri" w:cs="Times New Roman"/>
                        <w:color w:val="00B050"/>
                      </w:rPr>
                    </w:pPr>
                    <w:r w:rsidRPr="006847F2">
                      <w:rPr>
                        <w:rFonts w:ascii="Calibri" w:eastAsia="Calibri" w:hAnsi="Calibri" w:cs="Times New Roman"/>
                        <w:color w:val="00B050"/>
                      </w:rPr>
                      <w:t>No</w:t>
                    </w:r>
                  </w:p>
                </w:txbxContent>
              </v:textbox>
            </v:shape>
            <v:group id="_x0000_s1056" style="position:absolute;left:8421;top:13935;width:3110;height:930" coordorigin="1710,10470" coordsize="3110,930">
              <v:roundrect id="_x0000_s1057" style="position:absolute;left:1710;top:10470;width:3110;height:930" arcsize="10923f" fillcolor="#9bbb59" strokecolor="#f2f2f2" strokeweight="3pt">
                <v:shadow on="t" type="perspective" color="#4e6128" opacity=".5" offset="1pt" offset2="-1pt"/>
              </v:roundrect>
              <v:shape id="_x0000_s1058" type="#_x0000_t202" style="position:absolute;left:2066;top:10710;width:2399;height:450;mso-width-relative:margin;mso-height-relative:margin" filled="f" stroked="f">
                <v:textbox style="mso-next-textbox:#_x0000_s1058">
                  <w:txbxContent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Mild</w:t>
                      </w:r>
                    </w:p>
                  </w:txbxContent>
                </v:textbox>
              </v:shape>
            </v:group>
            <v:group id="_x0000_s1059" style="position:absolute;left:4940;top:13935;width:3110;height:930" coordorigin="5214,10470" coordsize="3110,930">
              <v:roundrect id="_x0000_s1060" style="position:absolute;left:5214;top:10470;width:3110;height:930" arcsize="10923f" fillcolor="#9bbb59" strokecolor="#f2f2f2" strokeweight="3pt">
                <v:shadow on="t" type="perspective" color="#4e6128" opacity=".5" offset="1pt" offset2="-1pt"/>
              </v:roundrect>
              <v:shape id="_x0000_s1061" type="#_x0000_t202" style="position:absolute;left:5570;top:10710;width:2399;height:450;mso-width-relative:margin;mso-height-relative:margin" filled="f" stroked="f">
                <v:textbox style="mso-next-textbox:#_x0000_s1061">
                  <w:txbxContent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Moderate</w:t>
                      </w:r>
                    </w:p>
                  </w:txbxContent>
                </v:textbox>
              </v:shape>
            </v:group>
            <v:group id="_x0000_s1062" style="position:absolute;left:1459;top:13935;width:3110;height:930" coordorigin="8733,10470" coordsize="3110,930">
              <v:roundrect id="_x0000_s1063" style="position:absolute;left:8733;top:10470;width:3110;height:930" arcsize="10923f" fillcolor="#9bbb59" strokecolor="#f2f2f2" strokeweight="3pt">
                <v:shadow on="t" type="perspective" color="#4e6128" opacity=".5" offset="1pt" offset2="-1pt"/>
              </v:roundrect>
              <v:shape id="_x0000_s1064" type="#_x0000_t202" style="position:absolute;left:9088;top:10710;width:2399;height:450;mso-width-relative:margin;mso-height-relative:margin" filled="f" stroked="f">
                <v:textbox style="mso-next-textbox:#_x0000_s1064">
                  <w:txbxContent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Severe</w:t>
                      </w:r>
                    </w:p>
                  </w:txbxContent>
                </v:textbox>
              </v:shape>
            </v:group>
            <v:group id="_x0000_s1065" style="position:absolute;left:8018;top:9351;width:3129;height:937" coordorigin="7658,4941" coordsize="3129,937">
              <v:roundrect id="_x0000_s1066" style="position:absolute;left:7658;top:4941;width:3129;height:937" arcsize="10923f" fillcolor="#9bbb59" strokecolor="#f2f2f2" strokeweight="3pt">
                <v:shadow on="t" type="perspective" color="#4e6128" opacity=".5" offset="1pt" offset2="-1pt"/>
              </v:roundrect>
              <v:shape id="_x0000_s1067" type="#_x0000_t202" style="position:absolute;left:8061;top:5185;width:2323;height:450;mso-width-relative:margin;mso-height-relative:margin" filled="f" stroked="f">
                <v:textbox style="mso-next-textbox:#_x0000_s1067">
                  <w:txbxContent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Atopic</w:t>
                      </w:r>
                    </w:p>
                  </w:txbxContent>
                </v:textbox>
              </v:shape>
            </v:group>
            <v:group id="_x0000_s1068" style="position:absolute;left:8018;top:8254;width:3129;height:937" coordorigin="7658,3844" coordsize="3129,937">
              <v:roundrect id="_x0000_s1069" style="position:absolute;left:7658;top:3844;width:3129;height:937" arcsize="10923f" fillcolor="#9bbb59" strokecolor="#f2f2f2" strokeweight="3pt">
                <v:shadow on="t" type="perspective" color="#4e6128" opacity=".5" offset="1pt" offset2="-1pt"/>
              </v:roundrect>
              <v:shape id="_x0000_s1070" type="#_x0000_t202" style="position:absolute;left:8061;top:4088;width:2323;height:450;mso-width-relative:margin;mso-height-relative:margin" filled="f" stroked="f">
                <v:textbox style="mso-next-textbox:#_x0000_s1070">
                  <w:txbxContent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Non-Atopic</w:t>
                      </w:r>
                    </w:p>
                  </w:txbxContent>
                </v:textbox>
              </v:shape>
            </v:group>
            <v:shape id="_x0000_s1071" type="#_x0000_t32" style="position:absolute;left:8777;top:5752;width:0;height:1013;rotation:-180" o:connectortype="straight" strokecolor="#9bbb59" strokeweight="2.5pt">
              <v:stroke endarrow="block"/>
              <v:shadow color="#868686"/>
            </v:shape>
            <v:shape id="_x0000_s1072" type="#_x0000_t32" style="position:absolute;left:4755;top:10450;width:1724;height:3380" o:connectortype="straight" strokecolor="#9bbb59" strokeweight="2.5pt">
              <v:stroke endarrow="block"/>
              <v:shadow color="#868686"/>
            </v:shape>
            <v:group id="_x0000_s1073" style="position:absolute;left:1456;top:6413;width:3113;height:937" coordorigin="1424,2153" coordsize="4665,937">
              <v:roundrect id="_x0000_s1074" style="position:absolute;left:1424;top:2153;width:4665;height:937" arcsize="10923f" fillcolor="#9bbb59" strokecolor="#f2f2f2" strokeweight="3pt">
                <v:shadow on="t" type="perspective" color="#4e6128" opacity=".5" offset="1pt" offset2="-1pt"/>
              </v:roundrect>
              <v:shape id="_x0000_s1075" type="#_x0000_t202" style="position:absolute;left:2194;top:2396;width:3126;height:450;mso-width-relative:margin;mso-height-relative:margin" filled="f" stroked="f">
                <v:textbox style="mso-next-textbox:#_x0000_s1075">
                  <w:txbxContent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Asthma ICD Codes</w:t>
                      </w:r>
                    </w:p>
                  </w:txbxContent>
                </v:textbox>
              </v:shape>
            </v:group>
            <v:shape id="_x0000_s1076" type="#_x0000_t32" style="position:absolute;left:1111;top:11775;width:435;height:0" o:connectortype="straight" strokecolor="#9bbb59" strokeweight="2.5pt">
              <v:stroke endarrow="block"/>
              <v:shadow color="#868686"/>
            </v:shape>
            <v:shape id="_x0000_s1077" type="#_x0000_t202" style="position:absolute;left:5835;top:9973;width:1797;height:405;mso-width-relative:margin;mso-height-relative:margin" filled="f" stroked="f" strokecolor="#9bbb59" strokeweight="1pt">
              <v:stroke dashstyle="dash"/>
              <v:shadow color="#868686"/>
              <v:textbox style="mso-next-textbox:#_x0000_s1077">
                <w:txbxContent>
                  <w:p w:rsidR="00E05431" w:rsidRPr="006847F2" w:rsidRDefault="00E05431" w:rsidP="00E9431E">
                    <w:pPr>
                      <w:rPr>
                        <w:rFonts w:ascii="Calibri" w:eastAsia="Calibri" w:hAnsi="Calibri" w:cs="Times New Roman"/>
                        <w:color w:val="00B050"/>
                      </w:rPr>
                    </w:pPr>
                    <w:proofErr w:type="gramStart"/>
                    <w:r>
                      <w:rPr>
                        <w:rFonts w:ascii="Calibri" w:eastAsia="Calibri" w:hAnsi="Calibri" w:cs="Times New Roman"/>
                        <w:color w:val="00B050"/>
                      </w:rPr>
                      <w:t>if</w:t>
                    </w:r>
                    <w:proofErr w:type="gramEnd"/>
                    <w:r>
                      <w:rPr>
                        <w:rFonts w:ascii="Calibri" w:eastAsia="Calibri" w:hAnsi="Calibri" w:cs="Times New Roman"/>
                        <w:color w:val="00B050"/>
                      </w:rPr>
                      <w:t xml:space="preserve"> N</w:t>
                    </w:r>
                    <w:r w:rsidRPr="006847F2">
                      <w:rPr>
                        <w:rFonts w:ascii="Calibri" w:eastAsia="Calibri" w:hAnsi="Calibri" w:cs="Times New Roman"/>
                        <w:color w:val="00B050"/>
                      </w:rPr>
                      <w:t>o</w:t>
                    </w:r>
                    <w:r>
                      <w:rPr>
                        <w:rFonts w:ascii="Calibri" w:eastAsia="Calibri" w:hAnsi="Calibri" w:cs="Times New Roman"/>
                        <w:color w:val="00B050"/>
                      </w:rPr>
                      <w:t>, check for</w:t>
                    </w:r>
                  </w:p>
                </w:txbxContent>
              </v:textbox>
            </v:shape>
            <v:group id="_x0000_s1078" style="position:absolute;left:5774;top:10683;width:2570;height:937" coordorigin="7658,3844" coordsize="3129,937">
              <v:roundrect id="_x0000_s1079" style="position:absolute;left:7658;top:3844;width:3129;height:937" arcsize="10923f" fillcolor="#9bbb59" strokecolor="#f2f2f2" strokeweight="3pt">
                <v:shadow on="t" type="perspective" color="#4e6128" opacity=".5" offset="1pt" offset2="-1pt"/>
              </v:roundrect>
              <v:shape id="_x0000_s1080" type="#_x0000_t202" style="position:absolute;left:8061;top:4088;width:2323;height:450;mso-width-relative:margin;mso-height-relative:margin" filled="f" stroked="f">
                <v:textbox style="mso-next-textbox:#_x0000_s1080">
                  <w:txbxContent>
                    <w:p w:rsidR="00E05431" w:rsidRPr="00E34273" w:rsidRDefault="00E05431" w:rsidP="00E9431E">
                      <w:pPr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 w:rsidRPr="00E34273">
                        <w:rPr>
                          <w:rFonts w:ascii="Calibri" w:eastAsia="Calibri" w:hAnsi="Calibri" w:cs="Times New Roman"/>
                          <w:color w:val="FFFFFF"/>
                        </w:rPr>
                        <w:t>Beta-Agonists</w:t>
                      </w:r>
                    </w:p>
                  </w:txbxContent>
                </v:textbox>
              </v:shape>
            </v:group>
            <v:group id="_x0000_s1081" style="position:absolute;left:3442;top:7917;width:2486;height:937" coordorigin="7658,3844" coordsize="3129,937">
              <v:roundrect id="_x0000_s1082" style="position:absolute;left:7658;top:3844;width:3129;height:937" arcsize="10923f" fillcolor="#9bbb59" strokecolor="#f2f2f2" strokeweight="3pt">
                <v:shadow on="t" type="perspective" color="#4e6128" opacity=".5" offset="1pt" offset2="-1pt"/>
              </v:roundrect>
              <v:shape id="_x0000_s1083" type="#_x0000_t202" style="position:absolute;left:8061;top:4088;width:2323;height:450;mso-width-relative:margin;mso-height-relative:margin" filled="f" stroked="f">
                <v:textbox style="mso-next-textbox:#_x0000_s1083">
                  <w:txbxContent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Allergies</w:t>
                      </w:r>
                    </w:p>
                  </w:txbxContent>
                </v:textbox>
              </v:shape>
            </v:group>
            <v:group id="_x0000_s1084" style="position:absolute;left:2179;top:9421;width:3129;height:937" coordorigin="7658,3844" coordsize="3129,937">
              <v:roundrect id="_x0000_s1085" style="position:absolute;left:7658;top:3844;width:3129;height:937" arcsize="10923f" fillcolor="#9bbb59" strokecolor="#f2f2f2" strokeweight="3pt">
                <v:shadow on="t" type="perspective" color="#4e6128" opacity=".5" offset="1pt" offset2="-1pt"/>
              </v:roundrect>
              <v:shape id="_x0000_s1086" type="#_x0000_t202" style="position:absolute;left:8061;top:4088;width:2323;height:450;mso-width-relative:margin;mso-height-relative:margin" filled="f" stroked="f">
                <v:textbox style="mso-next-textbox:#_x0000_s1086">
                  <w:txbxContent>
                    <w:p w:rsidR="00E05431" w:rsidRPr="00E34273" w:rsidRDefault="00E05431" w:rsidP="00E9431E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Steroids</w:t>
                      </w:r>
                    </w:p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</w:p>
                  </w:txbxContent>
                </v:textbox>
              </v:shape>
            </v:group>
            <v:group id="_x0000_s1087" style="position:absolute;left:1602;top:11332;width:2352;height:937" coordorigin="7658,3844" coordsize="3129,937">
              <v:roundrect id="_x0000_s1088" style="position:absolute;left:7658;top:3844;width:3129;height:937" arcsize="10923f" fillcolor="#9bbb59" strokecolor="#f2f2f2" strokeweight="3pt">
                <v:shadow on="t" type="perspective" color="#4e6128" opacity=".5" offset="1pt" offset2="-1pt"/>
              </v:roundrect>
              <v:shape id="_x0000_s1089" type="#_x0000_t202" style="position:absolute;left:8061;top:4088;width:2323;height:450;mso-width-relative:margin;mso-height-relative:margin" filled="f" stroked="f">
                <v:textbox style="mso-next-textbox:#_x0000_s1089">
                  <w:txbxContent>
                    <w:p w:rsidR="00E05431" w:rsidRPr="00E34273" w:rsidRDefault="00E05431" w:rsidP="00E9431E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ER Visits</w:t>
                      </w:r>
                    </w:p>
                  </w:txbxContent>
                </v:textbox>
              </v:shape>
            </v:group>
            <v:shape id="_x0000_s1090" type="#_x0000_t32" style="position:absolute;left:3441;top:4822;width:1;height:1591" o:connectortype="straight" strokecolor="#9bbb59" strokeweight="2.5pt">
              <v:stroke endarrow="block"/>
              <v:shadow color="#868686"/>
            </v:shape>
            <v:shape id="_x0000_s1091" type="#_x0000_t202" style="position:absolute;left:2540;top:5797;width:1021;height:405;mso-width-relative:margin;mso-height-relative:margin" filled="f" stroked="f" strokecolor="#9bbb59" strokeweight="1pt">
              <v:stroke dashstyle="dash"/>
              <v:shadow color="#868686"/>
              <v:textbox style="mso-next-textbox:#_x0000_s1091">
                <w:txbxContent>
                  <w:p w:rsidR="00E05431" w:rsidRPr="006847F2" w:rsidRDefault="00E05431" w:rsidP="00E9431E">
                    <w:pPr>
                      <w:rPr>
                        <w:rFonts w:ascii="Calibri" w:eastAsia="Calibri" w:hAnsi="Calibri" w:cs="Times New Roman"/>
                        <w:color w:val="00B050"/>
                      </w:rPr>
                    </w:pPr>
                    <w:proofErr w:type="gramStart"/>
                    <w:r>
                      <w:rPr>
                        <w:rFonts w:ascii="Calibri" w:eastAsia="Calibri" w:hAnsi="Calibri" w:cs="Times New Roman"/>
                        <w:color w:val="00B050"/>
                      </w:rPr>
                      <w:t>i</w:t>
                    </w:r>
                    <w:r w:rsidRPr="006847F2">
                      <w:rPr>
                        <w:rFonts w:ascii="Calibri" w:eastAsia="Calibri" w:hAnsi="Calibri" w:cs="Times New Roman"/>
                        <w:color w:val="00B050"/>
                      </w:rPr>
                      <w:t>nclude</w:t>
                    </w:r>
                    <w:proofErr w:type="gramEnd"/>
                  </w:p>
                </w:txbxContent>
              </v:textbox>
            </v:shape>
            <v:shape id="_x0000_s1092" type="#_x0000_t202" style="position:absolute;left:4979;top:12557;width:1081;height:405;mso-width-relative:margin;mso-height-relative:margin" filled="f" stroked="f" strokecolor="#9bbb59" strokeweight="1pt">
              <v:stroke dashstyle="dash"/>
              <v:shadow color="#868686"/>
              <v:textbox style="mso-next-textbox:#_x0000_s1092">
                <w:txbxContent>
                  <w:p w:rsidR="00E05431" w:rsidRPr="006847F2" w:rsidRDefault="00E05431" w:rsidP="00E9431E">
                    <w:pPr>
                      <w:jc w:val="center"/>
                      <w:rPr>
                        <w:rFonts w:ascii="Calibri" w:eastAsia="Calibri" w:hAnsi="Calibri" w:cs="Times New Roman"/>
                        <w:color w:val="00B050"/>
                      </w:rPr>
                    </w:pPr>
                    <w:r w:rsidRPr="006847F2">
                      <w:rPr>
                        <w:rFonts w:ascii="Calibri" w:eastAsia="Calibri" w:hAnsi="Calibri" w:cs="Times New Roman"/>
                        <w:color w:val="00B050"/>
                      </w:rPr>
                      <w:t>Inhaled</w:t>
                    </w:r>
                  </w:p>
                </w:txbxContent>
              </v:textbox>
            </v:shape>
            <v:group id="_x0000_s1093" style="position:absolute;left:1456;top:4710;width:4472;height:930" coordorigin="1230,585" coordsize="9375,930">
              <v:roundrect id="_x0000_s1094" style="position:absolute;left:1230;top:585;width:9375;height:930" arcsize="10923f" fillcolor="#9bbb59" strokecolor="#f2f2f2" strokeweight="3pt">
                <v:shadow on="t" type="perspective" color="#4e6128" opacity=".5" offset="1pt" offset2="-1pt"/>
              </v:roundrect>
              <v:shape id="_x0000_s1095" type="#_x0000_t202" style="position:absolute;left:3326;top:843;width:5184;height:413;mso-width-percent:400;mso-width-percent:400;mso-width-relative:margin;mso-height-relative:margin" filled="f" stroked="f">
                <v:textbox style="mso-next-textbox:#_x0000_s1095">
                  <w:txbxContent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Cases</w:t>
                      </w:r>
                    </w:p>
                  </w:txbxContent>
                </v:textbox>
              </v:shape>
            </v:group>
            <v:shape id="_x0000_s1096" type="#_x0000_t202" style="position:absolute;left:7683;top:11920;width:678;height:405;mso-width-relative:margin;mso-height-relative:margin" filled="f" stroked="f" strokecolor="#9bbb59" strokeweight="1pt">
              <v:stroke dashstyle="dash"/>
              <v:shadow color="#868686"/>
              <v:textbox style="mso-next-textbox:#_x0000_s1096">
                <w:txbxContent>
                  <w:p w:rsidR="00E05431" w:rsidRPr="006847F2" w:rsidRDefault="00E05431" w:rsidP="00E9431E">
                    <w:pPr>
                      <w:rPr>
                        <w:rFonts w:ascii="Calibri" w:eastAsia="Calibri" w:hAnsi="Calibri" w:cs="Times New Roman"/>
                        <w:color w:val="00B050"/>
                      </w:rPr>
                    </w:pPr>
                    <w:r w:rsidRPr="006847F2">
                      <w:rPr>
                        <w:rFonts w:ascii="Calibri" w:eastAsia="Calibri" w:hAnsi="Calibri" w:cs="Times New Roman"/>
                        <w:color w:val="00B050"/>
                      </w:rPr>
                      <w:t>Yes</w:t>
                    </w:r>
                  </w:p>
                </w:txbxContent>
              </v:textbox>
            </v:shape>
            <v:group id="_x0000_s1097" style="position:absolute;left:6105;top:4710;width:4815;height:930" coordorigin="1230,585" coordsize="9375,930">
              <v:roundrect id="_x0000_s1098" style="position:absolute;left:1230;top:585;width:9375;height:930" arcsize="10923f" fillcolor="#9bbb59" strokecolor="#f2f2f2" strokeweight="3pt">
                <v:shadow on="t" type="perspective" color="#4e6128" opacity=".5" offset="1pt" offset2="-1pt"/>
              </v:roundrect>
              <v:shape id="_x0000_s1099" type="#_x0000_t202" style="position:absolute;left:3326;top:843;width:5184;height:413;mso-width-percent:400;mso-width-percent:400;mso-width-relative:margin;mso-height-relative:margin" filled="f" stroked="f">
                <v:textbox style="mso-next-textbox:#_x0000_s1099">
                  <w:txbxContent>
                    <w:p w:rsidR="00E05431" w:rsidRDefault="00E05431" w:rsidP="00E9431E">
                      <w:pPr>
                        <w:spacing w:after="80"/>
                        <w:jc w:val="center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Controls</w:t>
                      </w:r>
                    </w:p>
                  </w:txbxContent>
                </v:textbox>
              </v:shape>
            </v:group>
            <v:group id="_x0000_s1100" style="position:absolute;left:6479;top:6173;width:4665;height:1800" coordorigin="6794,1718" coordsize="4665,1800">
              <v:roundrect id="_x0000_s1101" style="position:absolute;left:6794;top:1718;width:4665;height:1800" arcsize="10923f" fillcolor="#9bbb59" strokecolor="#f2f2f2" strokeweight="3pt">
                <v:shadow on="t" type="perspective" color="#4e6128" opacity=".5" offset="1pt" offset2="-1pt"/>
              </v:roundrect>
              <v:shape id="_x0000_s1102" type="#_x0000_t202" style="position:absolute;left:7564;top:1747;width:3126;height:1740;mso-width-relative:margin;mso-height-relative:margin" filled="f" stroked="f">
                <v:textbox style="mso-next-textbox:#_x0000_s1102">
                  <w:txbxContent>
                    <w:p w:rsidR="00E05431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Autoimmune Diseases</w:t>
                      </w:r>
                    </w:p>
                    <w:p w:rsidR="00E05431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Cystic Fibrosis</w:t>
                      </w:r>
                      <w:r w:rsidRPr="000A13C9">
                        <w:rPr>
                          <w:rFonts w:ascii="Calibri" w:eastAsia="Calibri" w:hAnsi="Calibri" w:cs="Times New Roman"/>
                          <w:color w:val="FFFFFF"/>
                        </w:rPr>
                        <w:t xml:space="preserve"> </w:t>
                      </w:r>
                    </w:p>
                    <w:p w:rsidR="00E05431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Bronchiectasis</w:t>
                      </w:r>
                      <w:r w:rsidRPr="000A13C9">
                        <w:rPr>
                          <w:rFonts w:ascii="Calibri" w:eastAsia="Calibri" w:hAnsi="Calibri" w:cs="Times New Roman"/>
                          <w:color w:val="FFFFFF"/>
                        </w:rPr>
                        <w:t xml:space="preserve"> </w:t>
                      </w:r>
                    </w:p>
                    <w:p w:rsidR="00E05431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PCD</w:t>
                      </w:r>
                      <w:r w:rsidRPr="000A13C9">
                        <w:rPr>
                          <w:rFonts w:ascii="Calibri" w:eastAsia="Calibri" w:hAnsi="Calibri" w:cs="Times New Roman"/>
                          <w:color w:val="FFFFFF"/>
                        </w:rPr>
                        <w:t xml:space="preserve"> </w:t>
                      </w:r>
                    </w:p>
                    <w:p w:rsidR="00E05431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 w:rsidRPr="000A13C9">
                        <w:rPr>
                          <w:rFonts w:ascii="Calibri" w:eastAsia="Calibri" w:hAnsi="Calibri" w:cs="Times New Roman"/>
                          <w:color w:val="FFFFFF"/>
                        </w:rPr>
                        <w:t xml:space="preserve">COPD </w:t>
                      </w:r>
                    </w:p>
                    <w:p w:rsidR="00E05431" w:rsidRPr="000A13C9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T</w:t>
                      </w:r>
                      <w:r w:rsidRPr="000A13C9">
                        <w:rPr>
                          <w:rFonts w:ascii="Calibri" w:eastAsia="Calibri" w:hAnsi="Calibri" w:cs="Times New Roman"/>
                          <w:color w:val="FFFFFF"/>
                        </w:rPr>
                        <w:t>ransplants</w:t>
                      </w:r>
                    </w:p>
                  </w:txbxContent>
                </v:textbox>
              </v:shape>
            </v:group>
            <v:shape id="_x0000_s1103" type="#_x0000_t32" style="position:absolute;left:2835;top:13368;width:1;height:567" o:connectortype="straight" strokecolor="#9bbb59" strokeweight="2.5pt">
              <v:stroke endarrow="block"/>
              <v:shadow color="#868686"/>
            </v:shape>
            <v:roundrect id="_x0000_s1104" style="position:absolute;left:2079;top:12850;width:1840;height:589" arcsize="10923f" fillcolor="#9bbb59" strokecolor="#f2f2f2" strokeweight="3pt">
              <v:shadow on="t" type="perspective" color="#4e6128" opacity=".5" offset="1pt" offset2="-1pt"/>
            </v:roundrect>
            <v:shape id="_x0000_s1105" type="#_x0000_t202" style="position:absolute;left:2179;top:12962;width:1740;height:477;mso-width-relative:margin;mso-height-relative:margin" filled="f" stroked="f">
              <v:textbox style="mso-next-textbox:#_x0000_s1105">
                <w:txbxContent>
                  <w:p w:rsidR="00E05431" w:rsidRPr="00E34273" w:rsidRDefault="00E05431" w:rsidP="00E9431E">
                    <w:pPr>
                      <w:jc w:val="center"/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  <w:color w:val="FFFFFF"/>
                      </w:rPr>
                      <w:t>Chart Review</w:t>
                    </w:r>
                  </w:p>
                </w:txbxContent>
              </v:textbox>
            </v:shape>
            <v:shape id="_x0000_s1106" type="#_x0000_t32" style="position:absolute;left:1814;top:7420;width:0;height:3912" o:connectortype="straight" strokecolor="#9bbb59" strokeweight="2.5pt">
              <v:stroke endarrow="block"/>
              <v:shadow color="#868686"/>
            </v:shape>
            <v:shape id="_x0000_s1107" type="#_x0000_t202" style="position:absolute;left:1637;top:7917;width:813;height:405;mso-width-relative:margin;mso-height-relative:margin" filled="f" stroked="f" strokecolor="#9bbb59" strokeweight="1pt">
              <v:stroke dashstyle="dash"/>
              <v:shadow color="#868686"/>
              <v:textbox style="mso-next-textbox:#_x0000_s1107">
                <w:txbxContent>
                  <w:p w:rsidR="00E05431" w:rsidRPr="006847F2" w:rsidRDefault="00E05431" w:rsidP="00E9431E">
                    <w:pPr>
                      <w:jc w:val="center"/>
                      <w:rPr>
                        <w:rFonts w:ascii="Calibri" w:eastAsia="Calibri" w:hAnsi="Calibri" w:cs="Times New Roman"/>
                        <w:color w:val="00B050"/>
                      </w:rPr>
                    </w:pPr>
                    <w:proofErr w:type="gramStart"/>
                    <w:r>
                      <w:rPr>
                        <w:rFonts w:ascii="Calibri" w:eastAsia="Calibri" w:hAnsi="Calibri" w:cs="Times New Roman"/>
                        <w:color w:val="00B050"/>
                      </w:rPr>
                      <w:t>plus</w:t>
                    </w:r>
                    <w:proofErr w:type="gramEnd"/>
                  </w:p>
                </w:txbxContent>
              </v:textbox>
            </v:shape>
            <v:group id="_x0000_s1108" style="position:absolute;left:8171;top:2517;width:3127;height:1252" coordorigin="8171,2517" coordsize="3127,1252">
              <v:roundrect id="_x0000_s1109" style="position:absolute;left:8171;top:2517;width:3127;height:1067" arcsize="10923f" fillcolor="#9bbb59" strokecolor="#f2f2f2" strokeweight="3pt">
                <v:shadow on="t" type="perspective" color="#4e6128" opacity=".5" offset="1pt" offset2="-1pt"/>
              </v:roundrect>
              <v:shape id="_x0000_s1110" type="#_x0000_t202" style="position:absolute;left:8349;top:2618;width:2772;height:1151;mso-position-horizontal-relative:margin;mso-width-relative:margin;mso-height-relative:margin" filled="f" stroked="f">
                <v:textbox style="mso-next-textbox:#_x0000_s1110">
                  <w:txbxContent>
                    <w:p w:rsidR="00E05431" w:rsidRPr="00CD4BC6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 w:rsidRPr="00CD4BC6">
                        <w:rPr>
                          <w:rFonts w:ascii="Calibri" w:eastAsia="Calibri" w:hAnsi="Calibri" w:cs="Times New Roman"/>
                          <w:color w:val="FFFFFF"/>
                        </w:rPr>
                        <w:t xml:space="preserve"> IgE levels</w:t>
                      </w:r>
                    </w:p>
                    <w:p w:rsidR="00E05431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 w:rsidRPr="00CD4BC6">
                        <w:rPr>
                          <w:rFonts w:ascii="Calibri" w:eastAsia="Calibri" w:hAnsi="Calibri" w:cs="Times New Roman"/>
                          <w:color w:val="FFFFFF"/>
                        </w:rPr>
                        <w:t>Duration of disease</w:t>
                      </w:r>
                    </w:p>
                    <w:p w:rsidR="00E05431" w:rsidRPr="00CD4BC6" w:rsidRDefault="00E05431" w:rsidP="00E9431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/>
                        </w:rPr>
                        <w:t>RAST test</w:t>
                      </w:r>
                    </w:p>
                  </w:txbxContent>
                </v:textbox>
              </v:shape>
            </v:group>
          </v:group>
        </w:pict>
      </w:r>
      <w:r w:rsidR="00E9431E" w:rsidRPr="00E9431E">
        <w:t xml:space="preserve"> </w:t>
      </w:r>
    </w:p>
    <w:p w:rsidR="004E7730" w:rsidRDefault="004E7730" w:rsidP="009F0930">
      <w:pPr>
        <w:spacing w:after="0" w:line="240" w:lineRule="auto"/>
        <w:rPr>
          <w:b/>
          <w:sz w:val="20"/>
          <w:szCs w:val="20"/>
        </w:rPr>
      </w:pPr>
    </w:p>
    <w:p w:rsidR="004E7730" w:rsidRDefault="004E7730" w:rsidP="009F0930">
      <w:pPr>
        <w:spacing w:after="0" w:line="240" w:lineRule="auto"/>
        <w:rPr>
          <w:b/>
          <w:sz w:val="20"/>
          <w:szCs w:val="20"/>
        </w:rPr>
      </w:pPr>
    </w:p>
    <w:p w:rsidR="00DA4116" w:rsidRDefault="00DA4116" w:rsidP="00DA4116">
      <w:pPr>
        <w:spacing w:after="0" w:line="240" w:lineRule="auto"/>
        <w:rPr>
          <w:rFonts w:cs="Arial"/>
          <w:b/>
        </w:rPr>
      </w:pPr>
    </w:p>
    <w:p w:rsidR="002456D7" w:rsidRDefault="002456D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E7730" w:rsidRPr="009A2567" w:rsidRDefault="002456D7" w:rsidP="009F0930">
      <w:pPr>
        <w:spacing w:after="0" w:line="240" w:lineRule="auto"/>
        <w:rPr>
          <w:b/>
          <w:sz w:val="20"/>
          <w:szCs w:val="20"/>
        </w:rPr>
      </w:pPr>
      <w:r w:rsidRPr="009A2567">
        <w:rPr>
          <w:b/>
          <w:sz w:val="20"/>
          <w:szCs w:val="20"/>
        </w:rPr>
        <w:lastRenderedPageBreak/>
        <w:t xml:space="preserve">References: </w:t>
      </w:r>
    </w:p>
    <w:p w:rsidR="002456D7" w:rsidRPr="009A2567" w:rsidRDefault="002456D7" w:rsidP="009F0930">
      <w:pPr>
        <w:spacing w:after="0" w:line="240" w:lineRule="auto"/>
        <w:rPr>
          <w:b/>
          <w:sz w:val="20"/>
          <w:szCs w:val="20"/>
        </w:rPr>
      </w:pPr>
    </w:p>
    <w:p w:rsidR="002456D7" w:rsidRPr="009A2567" w:rsidRDefault="002D35CD" w:rsidP="002456D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Pacheco JA, Avila PC, Thompson JA, Law M, </w:t>
      </w:r>
      <w:proofErr w:type="spellStart"/>
      <w:r>
        <w:rPr>
          <w:sz w:val="20"/>
          <w:szCs w:val="20"/>
        </w:rPr>
        <w:t>Quraishi</w:t>
      </w:r>
      <w:proofErr w:type="spellEnd"/>
      <w:r>
        <w:rPr>
          <w:sz w:val="20"/>
          <w:szCs w:val="20"/>
        </w:rPr>
        <w:t xml:space="preserve"> JA, </w:t>
      </w:r>
      <w:proofErr w:type="spellStart"/>
      <w:r>
        <w:rPr>
          <w:sz w:val="20"/>
          <w:szCs w:val="20"/>
        </w:rPr>
        <w:t>Greiman</w:t>
      </w:r>
      <w:proofErr w:type="spellEnd"/>
      <w:r>
        <w:rPr>
          <w:sz w:val="20"/>
          <w:szCs w:val="20"/>
        </w:rPr>
        <w:t xml:space="preserve"> AK, Just EM, Kho A.  A highly specific algorithm for identifying asthma cases and controls for genome-wide association studies. </w:t>
      </w:r>
      <w:r>
        <w:rPr>
          <w:i/>
          <w:sz w:val="20"/>
          <w:szCs w:val="20"/>
        </w:rPr>
        <w:t xml:space="preserve">AMIA </w:t>
      </w:r>
      <w:proofErr w:type="spellStart"/>
      <w:r w:rsidRPr="002D35CD">
        <w:rPr>
          <w:i/>
          <w:sz w:val="20"/>
          <w:szCs w:val="20"/>
        </w:rPr>
        <w:t>Annu</w:t>
      </w:r>
      <w:proofErr w:type="spellEnd"/>
      <w:r w:rsidRPr="002D35CD">
        <w:rPr>
          <w:i/>
          <w:sz w:val="20"/>
          <w:szCs w:val="20"/>
        </w:rPr>
        <w:t xml:space="preserve"> </w:t>
      </w:r>
      <w:proofErr w:type="spellStart"/>
      <w:r w:rsidRPr="002D35CD">
        <w:rPr>
          <w:i/>
          <w:sz w:val="20"/>
          <w:szCs w:val="20"/>
        </w:rPr>
        <w:t>Symp</w:t>
      </w:r>
      <w:proofErr w:type="spellEnd"/>
      <w:r w:rsidRPr="002D35CD">
        <w:rPr>
          <w:i/>
          <w:sz w:val="20"/>
          <w:szCs w:val="20"/>
        </w:rPr>
        <w:t xml:space="preserve"> Proc</w:t>
      </w:r>
      <w:r w:rsidRPr="002D35CD">
        <w:rPr>
          <w:sz w:val="20"/>
          <w:szCs w:val="20"/>
        </w:rPr>
        <w:t xml:space="preserve">. 2009 Nov 14; 2009:497-501. </w:t>
      </w:r>
    </w:p>
    <w:sectPr w:rsidR="002456D7" w:rsidRPr="009A2567" w:rsidSect="0022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EA"/>
    <w:multiLevelType w:val="hybridMultilevel"/>
    <w:tmpl w:val="8482EA22"/>
    <w:lvl w:ilvl="0" w:tplc="5566BC0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EC5968"/>
    <w:multiLevelType w:val="hybridMultilevel"/>
    <w:tmpl w:val="54B2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3A54"/>
    <w:multiLevelType w:val="hybridMultilevel"/>
    <w:tmpl w:val="FDB81594"/>
    <w:lvl w:ilvl="0" w:tplc="B650C20C">
      <w:start w:val="2"/>
      <w:numFmt w:val="decimal"/>
      <w:lvlText w:val="%1)"/>
      <w:lvlJc w:val="left"/>
      <w:pPr>
        <w:ind w:left="28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17D38F4"/>
    <w:multiLevelType w:val="hybridMultilevel"/>
    <w:tmpl w:val="3220635A"/>
    <w:lvl w:ilvl="0" w:tplc="29B6ACF4">
      <w:start w:val="496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BD33AB"/>
    <w:multiLevelType w:val="hybridMultilevel"/>
    <w:tmpl w:val="E6F4D29E"/>
    <w:lvl w:ilvl="0" w:tplc="EA96130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5311349"/>
    <w:multiLevelType w:val="hybridMultilevel"/>
    <w:tmpl w:val="D458F59E"/>
    <w:lvl w:ilvl="0" w:tplc="5566BC0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3655E69"/>
    <w:multiLevelType w:val="hybridMultilevel"/>
    <w:tmpl w:val="FB545C1C"/>
    <w:lvl w:ilvl="0" w:tplc="04AE01F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0D0E"/>
    <w:multiLevelType w:val="hybridMultilevel"/>
    <w:tmpl w:val="6268CE4A"/>
    <w:lvl w:ilvl="0" w:tplc="593A6350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36D6"/>
    <w:multiLevelType w:val="hybridMultilevel"/>
    <w:tmpl w:val="2B6EA20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36B7C"/>
    <w:rsid w:val="000068F6"/>
    <w:rsid w:val="0004587B"/>
    <w:rsid w:val="000627A5"/>
    <w:rsid w:val="0007419A"/>
    <w:rsid w:val="000A548F"/>
    <w:rsid w:val="000B1B0C"/>
    <w:rsid w:val="000C630B"/>
    <w:rsid w:val="000D458E"/>
    <w:rsid w:val="000E32AC"/>
    <w:rsid w:val="00122E26"/>
    <w:rsid w:val="001260B1"/>
    <w:rsid w:val="00136B7C"/>
    <w:rsid w:val="00140667"/>
    <w:rsid w:val="00142CD3"/>
    <w:rsid w:val="00174FA9"/>
    <w:rsid w:val="00190157"/>
    <w:rsid w:val="001A38E5"/>
    <w:rsid w:val="001A5031"/>
    <w:rsid w:val="001A6925"/>
    <w:rsid w:val="001A7302"/>
    <w:rsid w:val="001B6577"/>
    <w:rsid w:val="00225737"/>
    <w:rsid w:val="002456D7"/>
    <w:rsid w:val="002615B3"/>
    <w:rsid w:val="002805DA"/>
    <w:rsid w:val="00284608"/>
    <w:rsid w:val="002954D1"/>
    <w:rsid w:val="002A0AED"/>
    <w:rsid w:val="002B076C"/>
    <w:rsid w:val="002D081F"/>
    <w:rsid w:val="002D35CD"/>
    <w:rsid w:val="002F3ADF"/>
    <w:rsid w:val="00351179"/>
    <w:rsid w:val="00373399"/>
    <w:rsid w:val="00381BA4"/>
    <w:rsid w:val="00385CB1"/>
    <w:rsid w:val="00396AF9"/>
    <w:rsid w:val="003B5742"/>
    <w:rsid w:val="003E4822"/>
    <w:rsid w:val="004035F4"/>
    <w:rsid w:val="00424ABB"/>
    <w:rsid w:val="00434494"/>
    <w:rsid w:val="0044589B"/>
    <w:rsid w:val="00455A44"/>
    <w:rsid w:val="00474CF6"/>
    <w:rsid w:val="004768F3"/>
    <w:rsid w:val="00484CB9"/>
    <w:rsid w:val="004B0F4B"/>
    <w:rsid w:val="004B6DEF"/>
    <w:rsid w:val="004E7730"/>
    <w:rsid w:val="00500C8D"/>
    <w:rsid w:val="00546D7E"/>
    <w:rsid w:val="0057388C"/>
    <w:rsid w:val="005821D3"/>
    <w:rsid w:val="00584200"/>
    <w:rsid w:val="005A6962"/>
    <w:rsid w:val="005C1D7D"/>
    <w:rsid w:val="005E0075"/>
    <w:rsid w:val="0060381F"/>
    <w:rsid w:val="00620A0D"/>
    <w:rsid w:val="0068361F"/>
    <w:rsid w:val="0069662C"/>
    <w:rsid w:val="006D1243"/>
    <w:rsid w:val="006D4F62"/>
    <w:rsid w:val="006E2764"/>
    <w:rsid w:val="006F765E"/>
    <w:rsid w:val="00742185"/>
    <w:rsid w:val="007724F3"/>
    <w:rsid w:val="00775616"/>
    <w:rsid w:val="00796DBD"/>
    <w:rsid w:val="007B2D16"/>
    <w:rsid w:val="008057D1"/>
    <w:rsid w:val="00833EA4"/>
    <w:rsid w:val="0083645C"/>
    <w:rsid w:val="008538D9"/>
    <w:rsid w:val="00855FD7"/>
    <w:rsid w:val="00862387"/>
    <w:rsid w:val="00871B3E"/>
    <w:rsid w:val="00874FE5"/>
    <w:rsid w:val="00883A25"/>
    <w:rsid w:val="008A241C"/>
    <w:rsid w:val="008A569E"/>
    <w:rsid w:val="00907445"/>
    <w:rsid w:val="009603B3"/>
    <w:rsid w:val="00971ECB"/>
    <w:rsid w:val="00996F64"/>
    <w:rsid w:val="009A2567"/>
    <w:rsid w:val="009D0C2E"/>
    <w:rsid w:val="009F0930"/>
    <w:rsid w:val="009F1930"/>
    <w:rsid w:val="00A978B8"/>
    <w:rsid w:val="00AA62D8"/>
    <w:rsid w:val="00AC6538"/>
    <w:rsid w:val="00AF5D85"/>
    <w:rsid w:val="00B11617"/>
    <w:rsid w:val="00B15F8A"/>
    <w:rsid w:val="00B372BB"/>
    <w:rsid w:val="00B6777C"/>
    <w:rsid w:val="00BB6664"/>
    <w:rsid w:val="00BC0971"/>
    <w:rsid w:val="00BD06C1"/>
    <w:rsid w:val="00BD6A2F"/>
    <w:rsid w:val="00BE0579"/>
    <w:rsid w:val="00BE2FD4"/>
    <w:rsid w:val="00C00546"/>
    <w:rsid w:val="00CC4D4D"/>
    <w:rsid w:val="00CD7343"/>
    <w:rsid w:val="00D06114"/>
    <w:rsid w:val="00D06954"/>
    <w:rsid w:val="00D2311C"/>
    <w:rsid w:val="00D32E3A"/>
    <w:rsid w:val="00D36404"/>
    <w:rsid w:val="00DA125C"/>
    <w:rsid w:val="00DA4116"/>
    <w:rsid w:val="00DB27FB"/>
    <w:rsid w:val="00DF2F78"/>
    <w:rsid w:val="00E00EF0"/>
    <w:rsid w:val="00E05386"/>
    <w:rsid w:val="00E05431"/>
    <w:rsid w:val="00E3681C"/>
    <w:rsid w:val="00E9431E"/>
    <w:rsid w:val="00EB4FB9"/>
    <w:rsid w:val="00EC2EA7"/>
    <w:rsid w:val="00ED14D0"/>
    <w:rsid w:val="00F00C58"/>
    <w:rsid w:val="00F24538"/>
    <w:rsid w:val="00F87F4B"/>
    <w:rsid w:val="00FA2386"/>
    <w:rsid w:val="00FB7837"/>
    <w:rsid w:val="00FD30E5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22" type="connector" idref="#_x0000_s1103"/>
        <o:r id="V:Rule23" type="connector" idref="#_x0000_s1054"/>
        <o:r id="V:Rule24" type="connector" idref="#_x0000_s1042"/>
        <o:r id="V:Rule25" type="connector" idref="#_x0000_s1052"/>
        <o:r id="V:Rule26" type="connector" idref="#_x0000_s1072"/>
        <o:r id="V:Rule27" type="connector" idref="#_x0000_s1046"/>
        <o:r id="V:Rule28" type="connector" idref="#_x0000_s1027"/>
        <o:r id="V:Rule29" type="connector" idref="#_x0000_s1048"/>
        <o:r id="V:Rule30" type="connector" idref="#_x0000_s1090"/>
        <o:r id="V:Rule31" type="connector" idref="#_x0000_s1045"/>
        <o:r id="V:Rule32" type="connector" idref="#_x0000_s1050"/>
        <o:r id="V:Rule33" type="connector" idref="#_x0000_s1051"/>
        <o:r id="V:Rule34" type="connector" idref="#_x0000_s1071"/>
        <o:r id="V:Rule35" type="connector" idref="#_x0000_s1039"/>
        <o:r id="V:Rule36" type="connector" idref="#_x0000_s1041"/>
        <o:r id="V:Rule37" type="connector" idref="#_x0000_s1076"/>
        <o:r id="V:Rule38" type="connector" idref="#_x0000_s1040"/>
        <o:r id="V:Rule39" type="connector" idref="#_x0000_s1049"/>
        <o:r id="V:Rule40" type="connector" idref="#_x0000_s1044"/>
        <o:r id="V:Rule41" type="connector" idref="#_x0000_s1106"/>
        <o:r id="V:Rule4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B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6B7C"/>
  </w:style>
  <w:style w:type="paragraph" w:styleId="ListParagraph">
    <w:name w:val="List Paragraph"/>
    <w:basedOn w:val="Normal"/>
    <w:uiPriority w:val="34"/>
    <w:qFormat/>
    <w:rsid w:val="00FA2386"/>
    <w:pPr>
      <w:ind w:left="720"/>
      <w:contextualSpacing/>
    </w:pPr>
  </w:style>
  <w:style w:type="table" w:styleId="TableGrid">
    <w:name w:val="Table Grid"/>
    <w:basedOn w:val="TableNormal"/>
    <w:uiPriority w:val="59"/>
    <w:rsid w:val="00F2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1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B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6B7C"/>
  </w:style>
  <w:style w:type="paragraph" w:styleId="ListParagraph">
    <w:name w:val="List Paragraph"/>
    <w:basedOn w:val="Normal"/>
    <w:uiPriority w:val="34"/>
    <w:qFormat/>
    <w:rsid w:val="00FA2386"/>
    <w:pPr>
      <w:ind w:left="720"/>
      <w:contextualSpacing/>
    </w:pPr>
  </w:style>
  <w:style w:type="table" w:styleId="TableGrid">
    <w:name w:val="Table Grid"/>
    <w:basedOn w:val="TableNormal"/>
    <w:uiPriority w:val="59"/>
    <w:rsid w:val="00F2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ronchi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Diseas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Chronic_(medicine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2062C-A3D4-4DFE-8069-94ED33A1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of Phila.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lyam</dc:creator>
  <cp:keywords/>
  <dc:description/>
  <cp:lastModifiedBy>lyam</cp:lastModifiedBy>
  <cp:revision>4</cp:revision>
  <cp:lastPrinted>2013-05-15T14:00:00Z</cp:lastPrinted>
  <dcterms:created xsi:type="dcterms:W3CDTF">2013-05-16T15:15:00Z</dcterms:created>
  <dcterms:modified xsi:type="dcterms:W3CDTF">2013-05-21T19:14:00Z</dcterms:modified>
</cp:coreProperties>
</file>