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13658" w14:textId="5B6974F2" w:rsidR="00AC33D4" w:rsidRPr="009C5B8C" w:rsidRDefault="009C5B8C" w:rsidP="009C5B8C">
      <w:pPr>
        <w:spacing w:after="0" w:line="240" w:lineRule="auto"/>
        <w:rPr>
          <w:rFonts w:ascii="Arial" w:hAnsi="Arial" w:cs="Arial"/>
          <w:b/>
        </w:rPr>
      </w:pPr>
      <w:r w:rsidRPr="009C5B8C">
        <w:rPr>
          <w:rFonts w:ascii="Arial" w:hAnsi="Arial" w:cs="Arial"/>
          <w:b/>
        </w:rPr>
        <w:t xml:space="preserve">Phenotype Algorithm for </w:t>
      </w:r>
      <w:r w:rsidR="00072E5D">
        <w:rPr>
          <w:rFonts w:ascii="Arial" w:hAnsi="Arial" w:cs="Arial"/>
          <w:b/>
        </w:rPr>
        <w:t>Type 1 Diabetes</w:t>
      </w:r>
      <w:r>
        <w:rPr>
          <w:rFonts w:ascii="Arial" w:hAnsi="Arial" w:cs="Arial"/>
          <w:b/>
        </w:rPr>
        <w:t xml:space="preserve"> </w:t>
      </w:r>
      <w:r w:rsidRPr="009C5B8C">
        <w:rPr>
          <w:rFonts w:ascii="Arial" w:hAnsi="Arial" w:cs="Arial"/>
          <w:b/>
        </w:rPr>
        <w:t xml:space="preserve">– </w:t>
      </w:r>
      <w:proofErr w:type="spellStart"/>
      <w:r w:rsidRPr="009C5B8C">
        <w:rPr>
          <w:rFonts w:ascii="Arial" w:hAnsi="Arial" w:cs="Arial"/>
          <w:b/>
        </w:rPr>
        <w:t>eMERGE</w:t>
      </w:r>
      <w:proofErr w:type="spellEnd"/>
      <w:r w:rsidRPr="009C5B8C">
        <w:rPr>
          <w:rFonts w:ascii="Arial" w:hAnsi="Arial" w:cs="Arial"/>
          <w:b/>
        </w:rPr>
        <w:t xml:space="preserve"> Phase-IV Program </w:t>
      </w:r>
    </w:p>
    <w:p w14:paraId="3D4E8963" w14:textId="77777777" w:rsidR="009C5B8C" w:rsidRPr="009C5B8C" w:rsidRDefault="009C5B8C" w:rsidP="009C5B8C">
      <w:pPr>
        <w:spacing w:after="0" w:line="240" w:lineRule="auto"/>
        <w:rPr>
          <w:rFonts w:ascii="Arial" w:hAnsi="Arial" w:cs="Arial"/>
        </w:rPr>
      </w:pPr>
    </w:p>
    <w:p w14:paraId="62D22349" w14:textId="77777777" w:rsidR="00072E5D" w:rsidRDefault="00072E5D" w:rsidP="00072E5D">
      <w:pPr>
        <w:spacing w:after="0" w:line="240" w:lineRule="auto"/>
        <w:rPr>
          <w:rFonts w:ascii="Arial" w:hAnsi="Arial" w:cs="Arial"/>
        </w:rPr>
      </w:pPr>
      <w:r>
        <w:rPr>
          <w:rFonts w:ascii="Arial" w:hAnsi="Arial" w:cs="Arial"/>
        </w:rPr>
        <w:t>Huiqi Qu, Jeff Roizen</w:t>
      </w:r>
      <w:r w:rsidRPr="009C5B8C">
        <w:rPr>
          <w:rFonts w:ascii="Arial" w:hAnsi="Arial" w:cs="Arial"/>
        </w:rPr>
        <w:t>, Frank Mentch</w:t>
      </w:r>
      <w:r>
        <w:rPr>
          <w:rFonts w:ascii="Arial" w:hAnsi="Arial" w:cs="Arial"/>
        </w:rPr>
        <w:t xml:space="preserve">, </w:t>
      </w:r>
      <w:r w:rsidRPr="009C5B8C">
        <w:rPr>
          <w:rFonts w:ascii="Arial" w:hAnsi="Arial" w:cs="Arial"/>
        </w:rPr>
        <w:t>John Connolly,</w:t>
      </w:r>
      <w:r>
        <w:rPr>
          <w:rFonts w:ascii="Arial" w:hAnsi="Arial" w:cs="Arial"/>
        </w:rPr>
        <w:t xml:space="preserve"> Heather Hain, </w:t>
      </w:r>
      <w:r w:rsidRPr="009C5B8C">
        <w:rPr>
          <w:rFonts w:ascii="Arial" w:hAnsi="Arial" w:cs="Arial"/>
        </w:rPr>
        <w:t xml:space="preserve">Patrick Sleiman, Hakon Hakonarson </w:t>
      </w:r>
    </w:p>
    <w:p w14:paraId="32A08BC6" w14:textId="77777777" w:rsidR="00072E5D" w:rsidRDefault="00072E5D" w:rsidP="00072E5D">
      <w:pPr>
        <w:spacing w:after="0" w:line="240" w:lineRule="auto"/>
        <w:rPr>
          <w:rFonts w:ascii="Arial" w:hAnsi="Arial" w:cs="Arial"/>
        </w:rPr>
      </w:pPr>
    </w:p>
    <w:p w14:paraId="541F061E" w14:textId="71A32E94" w:rsidR="00072E5D" w:rsidRPr="009C5B8C" w:rsidRDefault="00072E5D" w:rsidP="00072E5D">
      <w:pPr>
        <w:spacing w:after="0" w:line="240" w:lineRule="auto"/>
        <w:rPr>
          <w:rFonts w:ascii="Arial" w:hAnsi="Arial" w:cs="Arial"/>
        </w:rPr>
      </w:pPr>
      <w:r w:rsidRPr="009C5B8C">
        <w:rPr>
          <w:rFonts w:ascii="Arial" w:hAnsi="Arial" w:cs="Arial"/>
        </w:rPr>
        <w:t xml:space="preserve">The pseudocode for </w:t>
      </w:r>
      <w:r>
        <w:rPr>
          <w:rFonts w:ascii="Arial" w:hAnsi="Arial" w:cs="Arial"/>
        </w:rPr>
        <w:t>BMI</w:t>
      </w:r>
      <w:r w:rsidRPr="009C5B8C">
        <w:rPr>
          <w:rFonts w:ascii="Arial" w:hAnsi="Arial" w:cs="Arial"/>
        </w:rPr>
        <w:t xml:space="preserve"> </w:t>
      </w:r>
      <w:r>
        <w:rPr>
          <w:rFonts w:ascii="Arial" w:hAnsi="Arial" w:cs="Arial"/>
        </w:rPr>
        <w:t>is listed</w:t>
      </w:r>
      <w:r w:rsidRPr="009C5B8C">
        <w:rPr>
          <w:rFonts w:ascii="Arial" w:hAnsi="Arial" w:cs="Arial"/>
        </w:rPr>
        <w:t xml:space="preserve"> below. Questions regarding this </w:t>
      </w:r>
      <w:r>
        <w:rPr>
          <w:rFonts w:ascii="Arial" w:hAnsi="Arial" w:cs="Arial"/>
        </w:rPr>
        <w:t>algorithm</w:t>
      </w:r>
      <w:r w:rsidRPr="009C5B8C">
        <w:rPr>
          <w:rFonts w:ascii="Arial" w:hAnsi="Arial" w:cs="Arial"/>
        </w:rPr>
        <w:t xml:space="preserve"> can be directed to </w:t>
      </w:r>
      <w:r>
        <w:rPr>
          <w:rFonts w:ascii="Arial" w:hAnsi="Arial" w:cs="Arial"/>
        </w:rPr>
        <w:t>Frank Mentch</w:t>
      </w:r>
      <w:r w:rsidRPr="009C5B8C">
        <w:rPr>
          <w:rFonts w:ascii="Arial" w:hAnsi="Arial" w:cs="Arial"/>
        </w:rPr>
        <w:t xml:space="preserve"> (</w:t>
      </w:r>
      <w:hyperlink r:id="rId8" w:history="1">
        <w:r w:rsidRPr="00330EA4">
          <w:rPr>
            <w:rStyle w:val="Hyperlink"/>
            <w:rFonts w:ascii="Arial" w:hAnsi="Arial" w:cs="Arial"/>
          </w:rPr>
          <w:t>mentchf@chop.edu</w:t>
        </w:r>
      </w:hyperlink>
      <w:r w:rsidRPr="009C5B8C">
        <w:rPr>
          <w:rFonts w:ascii="Arial" w:hAnsi="Arial" w:cs="Arial"/>
        </w:rPr>
        <w:t>).</w:t>
      </w:r>
    </w:p>
    <w:p w14:paraId="195A07E2" w14:textId="77777777" w:rsidR="009C5B8C" w:rsidRPr="009C5B8C" w:rsidRDefault="009C5B8C" w:rsidP="009C5B8C">
      <w:pPr>
        <w:spacing w:after="0" w:line="240" w:lineRule="auto"/>
        <w:rPr>
          <w:rFonts w:ascii="Arial" w:hAnsi="Arial" w:cs="Arial"/>
        </w:rPr>
      </w:pPr>
    </w:p>
    <w:tbl>
      <w:tblPr>
        <w:tblStyle w:val="TableGrid"/>
        <w:tblW w:w="0" w:type="auto"/>
        <w:tblCellMar>
          <w:left w:w="72" w:type="dxa"/>
          <w:right w:w="0" w:type="dxa"/>
        </w:tblCellMar>
        <w:tblLook w:val="04A0" w:firstRow="1" w:lastRow="0" w:firstColumn="1" w:lastColumn="0" w:noHBand="0" w:noVBand="1"/>
      </w:tblPr>
      <w:tblGrid>
        <w:gridCol w:w="621"/>
        <w:gridCol w:w="10169"/>
      </w:tblGrid>
      <w:tr w:rsidR="0051493B" w:rsidRPr="009B0763" w14:paraId="007BDCC1" w14:textId="77777777" w:rsidTr="003602AC">
        <w:tc>
          <w:tcPr>
            <w:tcW w:w="10790" w:type="dxa"/>
            <w:gridSpan w:val="2"/>
          </w:tcPr>
          <w:p w14:paraId="2DED37A1" w14:textId="7C595AAE" w:rsidR="0051493B" w:rsidRPr="009B0763" w:rsidRDefault="0051493B" w:rsidP="009C5B8C">
            <w:pPr>
              <w:rPr>
                <w:rFonts w:ascii="Arial" w:hAnsi="Arial" w:cs="Arial"/>
                <w:b/>
              </w:rPr>
            </w:pPr>
            <w:r w:rsidRPr="009B0763">
              <w:rPr>
                <w:rFonts w:ascii="Arial" w:hAnsi="Arial" w:cs="Arial"/>
                <w:b/>
              </w:rPr>
              <w:t>Pseudocode</w:t>
            </w:r>
            <w:r w:rsidR="00072E5D">
              <w:rPr>
                <w:rFonts w:ascii="Arial" w:hAnsi="Arial" w:cs="Arial"/>
                <w:b/>
              </w:rPr>
              <w:t xml:space="preserve"> for cases</w:t>
            </w:r>
          </w:p>
        </w:tc>
      </w:tr>
      <w:tr w:rsidR="009C5B8C" w:rsidRPr="009B0763" w14:paraId="1AB7EF3D" w14:textId="77777777" w:rsidTr="003602AC">
        <w:tc>
          <w:tcPr>
            <w:tcW w:w="621" w:type="dxa"/>
          </w:tcPr>
          <w:p w14:paraId="2AD0939C" w14:textId="77777777" w:rsidR="009C5B8C" w:rsidRPr="009B0763" w:rsidRDefault="00FE6791" w:rsidP="009C5B8C">
            <w:pPr>
              <w:rPr>
                <w:rFonts w:ascii="Arial" w:hAnsi="Arial" w:cs="Arial"/>
                <w:b/>
              </w:rPr>
            </w:pPr>
            <w:r w:rsidRPr="009B0763">
              <w:rPr>
                <w:rFonts w:ascii="Arial" w:hAnsi="Arial" w:cs="Arial"/>
                <w:b/>
              </w:rPr>
              <w:t xml:space="preserve">Step </w:t>
            </w:r>
          </w:p>
        </w:tc>
        <w:tc>
          <w:tcPr>
            <w:tcW w:w="10169" w:type="dxa"/>
          </w:tcPr>
          <w:p w14:paraId="1EBB83B1" w14:textId="77777777" w:rsidR="009C5B8C" w:rsidRPr="009B0763" w:rsidRDefault="00FE6791" w:rsidP="009B0763">
            <w:pPr>
              <w:rPr>
                <w:rFonts w:ascii="Arial" w:hAnsi="Arial" w:cs="Arial"/>
                <w:b/>
              </w:rPr>
            </w:pPr>
            <w:r w:rsidRPr="009B0763">
              <w:rPr>
                <w:rFonts w:ascii="Arial" w:hAnsi="Arial" w:cs="Arial"/>
                <w:b/>
              </w:rPr>
              <w:t xml:space="preserve">Description </w:t>
            </w:r>
          </w:p>
        </w:tc>
      </w:tr>
      <w:tr w:rsidR="00E22D3C" w:rsidRPr="009B0763" w14:paraId="09186774" w14:textId="77777777" w:rsidTr="003602AC">
        <w:tc>
          <w:tcPr>
            <w:tcW w:w="621" w:type="dxa"/>
          </w:tcPr>
          <w:p w14:paraId="1771003D" w14:textId="5D7109AE" w:rsidR="00E22D3C" w:rsidRPr="009B0763" w:rsidRDefault="00E22D3C" w:rsidP="009C5B8C">
            <w:pPr>
              <w:rPr>
                <w:rFonts w:ascii="Arial" w:hAnsi="Arial" w:cs="Arial"/>
              </w:rPr>
            </w:pPr>
            <w:r w:rsidRPr="009B0763">
              <w:rPr>
                <w:rFonts w:ascii="Arial" w:hAnsi="Arial" w:cs="Arial"/>
              </w:rPr>
              <w:t>0</w:t>
            </w:r>
          </w:p>
        </w:tc>
        <w:tc>
          <w:tcPr>
            <w:tcW w:w="10169" w:type="dxa"/>
          </w:tcPr>
          <w:p w14:paraId="6522F4DB" w14:textId="0D6C699D" w:rsidR="00E22D3C" w:rsidRPr="00072E5D" w:rsidRDefault="00072E5D" w:rsidP="00FB32CC">
            <w:pPr>
              <w:pStyle w:val="Default"/>
              <w:rPr>
                <w:rFonts w:ascii="Arial" w:hAnsi="Arial" w:cs="Arial"/>
                <w:sz w:val="22"/>
                <w:szCs w:val="22"/>
              </w:rPr>
            </w:pPr>
            <w:r w:rsidRPr="00072E5D">
              <w:rPr>
                <w:rFonts w:ascii="Arial" w:hAnsi="Arial" w:cs="Arial"/>
                <w:sz w:val="22"/>
                <w:szCs w:val="22"/>
              </w:rPr>
              <w:t>Include patients with a T1D diagnosis and that have been prescribed insulin.</w:t>
            </w:r>
            <w:r w:rsidR="006D1F46">
              <w:rPr>
                <w:rFonts w:ascii="Arial" w:hAnsi="Arial" w:cs="Arial"/>
                <w:sz w:val="22"/>
                <w:szCs w:val="22"/>
              </w:rPr>
              <w:t xml:space="preserve"> ICD9 codes </w:t>
            </w:r>
            <w:r w:rsidR="00FB32CC">
              <w:t>250._1*</w:t>
            </w:r>
            <w:bookmarkStart w:id="0" w:name="_GoBack"/>
            <w:bookmarkEnd w:id="0"/>
            <w:r w:rsidR="00FB32CC">
              <w:t xml:space="preserve"> | 250._3</w:t>
            </w:r>
            <w:r w:rsidR="006D1F46">
              <w:rPr>
                <w:rFonts w:ascii="Arial" w:hAnsi="Arial" w:cs="Arial"/>
                <w:sz w:val="22"/>
                <w:szCs w:val="22"/>
              </w:rPr>
              <w:t xml:space="preserve">*; ICD10 codes </w:t>
            </w:r>
            <w:r w:rsidR="00FB32CC">
              <w:t>E10*</w:t>
            </w:r>
            <w:r w:rsidR="006D1F46">
              <w:t xml:space="preserve">; </w:t>
            </w:r>
            <w:r w:rsidR="006D1F46">
              <w:rPr>
                <w:rFonts w:ascii="Arial" w:hAnsi="Arial" w:cs="Arial"/>
                <w:sz w:val="22"/>
                <w:szCs w:val="22"/>
              </w:rPr>
              <w:t xml:space="preserve">see Table </w:t>
            </w:r>
            <w:r w:rsidR="00296673">
              <w:rPr>
                <w:rFonts w:ascii="Arial" w:hAnsi="Arial" w:cs="Arial"/>
                <w:sz w:val="22"/>
                <w:szCs w:val="22"/>
              </w:rPr>
              <w:t>1</w:t>
            </w:r>
            <w:r w:rsidR="006D1F46">
              <w:rPr>
                <w:rFonts w:ascii="Arial" w:hAnsi="Arial" w:cs="Arial"/>
                <w:sz w:val="22"/>
                <w:szCs w:val="22"/>
              </w:rPr>
              <w:t xml:space="preserve"> for insulin </w:t>
            </w:r>
            <w:proofErr w:type="spellStart"/>
            <w:r w:rsidR="006D1F46">
              <w:rPr>
                <w:rFonts w:ascii="Arial" w:hAnsi="Arial" w:cs="Arial"/>
                <w:sz w:val="22"/>
                <w:szCs w:val="22"/>
              </w:rPr>
              <w:t>RXNorm</w:t>
            </w:r>
            <w:proofErr w:type="spellEnd"/>
            <w:r w:rsidR="006D1F46">
              <w:rPr>
                <w:rFonts w:ascii="Arial" w:hAnsi="Arial" w:cs="Arial"/>
                <w:sz w:val="22"/>
                <w:szCs w:val="22"/>
              </w:rPr>
              <w:t xml:space="preserve"> codes.</w:t>
            </w:r>
          </w:p>
        </w:tc>
      </w:tr>
      <w:tr w:rsidR="009C5B8C" w:rsidRPr="009B0763" w14:paraId="7B7F0EA3" w14:textId="77777777" w:rsidTr="003602AC">
        <w:tc>
          <w:tcPr>
            <w:tcW w:w="621" w:type="dxa"/>
          </w:tcPr>
          <w:p w14:paraId="1D61AF65" w14:textId="77777777" w:rsidR="009C5B8C" w:rsidRPr="009B0763" w:rsidRDefault="00FE6791" w:rsidP="009C5B8C">
            <w:pPr>
              <w:rPr>
                <w:rFonts w:ascii="Arial" w:hAnsi="Arial" w:cs="Arial"/>
              </w:rPr>
            </w:pPr>
            <w:r w:rsidRPr="009B0763">
              <w:rPr>
                <w:rFonts w:ascii="Arial" w:hAnsi="Arial" w:cs="Arial"/>
              </w:rPr>
              <w:t>1</w:t>
            </w:r>
          </w:p>
        </w:tc>
        <w:tc>
          <w:tcPr>
            <w:tcW w:w="10169" w:type="dxa"/>
          </w:tcPr>
          <w:p w14:paraId="102BCDB3" w14:textId="3746D502" w:rsidR="009C5B8C" w:rsidRPr="00072E5D" w:rsidRDefault="00072E5D" w:rsidP="00296673">
            <w:pPr>
              <w:pStyle w:val="Default"/>
              <w:rPr>
                <w:rFonts w:ascii="Arial" w:hAnsi="Arial" w:cs="Arial"/>
                <w:sz w:val="22"/>
                <w:szCs w:val="22"/>
              </w:rPr>
            </w:pPr>
            <w:r w:rsidRPr="00072E5D">
              <w:rPr>
                <w:rFonts w:ascii="Arial" w:hAnsi="Arial" w:cs="Arial"/>
                <w:sz w:val="22"/>
                <w:szCs w:val="22"/>
              </w:rPr>
              <w:t>Exclude patients that have been prescribed T2D medications.</w:t>
            </w:r>
            <w:r w:rsidR="006D1F46">
              <w:rPr>
                <w:rFonts w:ascii="Arial" w:hAnsi="Arial" w:cs="Arial"/>
                <w:sz w:val="22"/>
                <w:szCs w:val="22"/>
              </w:rPr>
              <w:t xml:space="preserve"> See Table </w:t>
            </w:r>
            <w:r w:rsidR="00296673">
              <w:rPr>
                <w:rFonts w:ascii="Arial" w:hAnsi="Arial" w:cs="Arial"/>
                <w:sz w:val="22"/>
                <w:szCs w:val="22"/>
              </w:rPr>
              <w:t>2</w:t>
            </w:r>
            <w:r w:rsidR="006D1F46">
              <w:rPr>
                <w:rFonts w:ascii="Arial" w:hAnsi="Arial" w:cs="Arial"/>
                <w:sz w:val="22"/>
                <w:szCs w:val="22"/>
              </w:rPr>
              <w:t xml:space="preserve"> for </w:t>
            </w:r>
            <w:proofErr w:type="spellStart"/>
            <w:r w:rsidR="006D1F46">
              <w:rPr>
                <w:rFonts w:ascii="Arial" w:hAnsi="Arial" w:cs="Arial"/>
                <w:sz w:val="22"/>
                <w:szCs w:val="22"/>
              </w:rPr>
              <w:t>RXNorm</w:t>
            </w:r>
            <w:proofErr w:type="spellEnd"/>
            <w:r w:rsidR="006D1F46">
              <w:rPr>
                <w:rFonts w:ascii="Arial" w:hAnsi="Arial" w:cs="Arial"/>
                <w:sz w:val="22"/>
                <w:szCs w:val="22"/>
              </w:rPr>
              <w:t xml:space="preserve"> codes.</w:t>
            </w:r>
          </w:p>
        </w:tc>
      </w:tr>
      <w:tr w:rsidR="009C5B8C" w:rsidRPr="009B0763" w14:paraId="50126475" w14:textId="77777777" w:rsidTr="003602AC">
        <w:tc>
          <w:tcPr>
            <w:tcW w:w="621" w:type="dxa"/>
          </w:tcPr>
          <w:p w14:paraId="54616F69" w14:textId="77777777" w:rsidR="009C5B8C" w:rsidRPr="009B0763" w:rsidRDefault="00FE6791" w:rsidP="009C5B8C">
            <w:pPr>
              <w:rPr>
                <w:rFonts w:ascii="Arial" w:hAnsi="Arial" w:cs="Arial"/>
              </w:rPr>
            </w:pPr>
            <w:r w:rsidRPr="009B0763">
              <w:rPr>
                <w:rFonts w:ascii="Arial" w:hAnsi="Arial" w:cs="Arial"/>
              </w:rPr>
              <w:t>2</w:t>
            </w:r>
          </w:p>
        </w:tc>
        <w:tc>
          <w:tcPr>
            <w:tcW w:w="10169" w:type="dxa"/>
            <w:vAlign w:val="center"/>
          </w:tcPr>
          <w:p w14:paraId="13376B0C" w14:textId="00D2E730" w:rsidR="009C5B8C" w:rsidRPr="009B0763" w:rsidRDefault="007216D3" w:rsidP="00296673">
            <w:pPr>
              <w:rPr>
                <w:rFonts w:ascii="Arial" w:hAnsi="Arial" w:cs="Arial"/>
              </w:rPr>
            </w:pPr>
            <w:r w:rsidRPr="009B0763">
              <w:rPr>
                <w:rFonts w:ascii="Arial" w:hAnsi="Arial" w:cs="Arial"/>
              </w:rPr>
              <w:t xml:space="preserve">Exclude </w:t>
            </w:r>
            <w:r>
              <w:rPr>
                <w:rFonts w:ascii="Arial" w:hAnsi="Arial" w:cs="Arial"/>
              </w:rPr>
              <w:t>patients</w:t>
            </w:r>
            <w:r w:rsidRPr="009B0763">
              <w:rPr>
                <w:rFonts w:ascii="Arial" w:hAnsi="Arial" w:cs="Arial"/>
              </w:rPr>
              <w:t xml:space="preserve"> with malignant cancer, identified by 4 or more diagnoses on different days with any ICD9 code between 140.* and 209* and any C* ICD10 code</w:t>
            </w:r>
          </w:p>
        </w:tc>
      </w:tr>
      <w:tr w:rsidR="009C5B8C" w:rsidRPr="009B0763" w14:paraId="062C61C3" w14:textId="77777777" w:rsidTr="003602AC">
        <w:trPr>
          <w:trHeight w:val="233"/>
        </w:trPr>
        <w:tc>
          <w:tcPr>
            <w:tcW w:w="621" w:type="dxa"/>
          </w:tcPr>
          <w:p w14:paraId="6CA4AB37" w14:textId="77777777" w:rsidR="009C5B8C" w:rsidRPr="009B0763" w:rsidRDefault="00FE6791" w:rsidP="009C5B8C">
            <w:pPr>
              <w:rPr>
                <w:rFonts w:ascii="Arial" w:hAnsi="Arial" w:cs="Arial"/>
              </w:rPr>
            </w:pPr>
            <w:r w:rsidRPr="009B0763">
              <w:rPr>
                <w:rFonts w:ascii="Arial" w:hAnsi="Arial" w:cs="Arial"/>
              </w:rPr>
              <w:t>3</w:t>
            </w:r>
          </w:p>
        </w:tc>
        <w:tc>
          <w:tcPr>
            <w:tcW w:w="10169" w:type="dxa"/>
            <w:vAlign w:val="center"/>
          </w:tcPr>
          <w:p w14:paraId="35C5F3F2" w14:textId="5EBA3A9A" w:rsidR="009C5B8C" w:rsidRPr="009B0763" w:rsidRDefault="003602AC" w:rsidP="006D1F46">
            <w:pPr>
              <w:rPr>
                <w:rFonts w:ascii="Arial" w:hAnsi="Arial" w:cs="Arial"/>
              </w:rPr>
            </w:pPr>
            <w:r w:rsidRPr="00072E5D">
              <w:rPr>
                <w:rFonts w:ascii="Arial" w:hAnsi="Arial" w:cs="Arial"/>
              </w:rPr>
              <w:t xml:space="preserve">Exclude patients </w:t>
            </w:r>
            <w:r>
              <w:rPr>
                <w:rFonts w:ascii="Arial" w:hAnsi="Arial" w:cs="Arial"/>
              </w:rPr>
              <w:t>with</w:t>
            </w:r>
            <w:r w:rsidRPr="00072E5D">
              <w:rPr>
                <w:rFonts w:ascii="Arial" w:hAnsi="Arial" w:cs="Arial"/>
              </w:rPr>
              <w:t xml:space="preserve"> </w:t>
            </w:r>
            <w:r>
              <w:rPr>
                <w:rFonts w:ascii="Arial" w:hAnsi="Arial" w:cs="Arial"/>
              </w:rPr>
              <w:t>a cystic fibrosis diagnosis</w:t>
            </w:r>
            <w:r w:rsidRPr="00072E5D">
              <w:rPr>
                <w:rFonts w:ascii="Arial" w:hAnsi="Arial" w:cs="Arial"/>
              </w:rPr>
              <w:t>.</w:t>
            </w:r>
            <w:r w:rsidR="006D1F46">
              <w:rPr>
                <w:rFonts w:ascii="Arial" w:hAnsi="Arial" w:cs="Arial"/>
              </w:rPr>
              <w:t xml:space="preserve"> ICD9 codes 277.0* and ICD10 codes E84*.</w:t>
            </w:r>
          </w:p>
        </w:tc>
      </w:tr>
      <w:tr w:rsidR="005E644A" w:rsidRPr="009B0763" w14:paraId="1D662F75" w14:textId="77777777" w:rsidTr="003602AC">
        <w:tc>
          <w:tcPr>
            <w:tcW w:w="621" w:type="dxa"/>
          </w:tcPr>
          <w:p w14:paraId="3A12794F" w14:textId="3DB9B431" w:rsidR="005E644A" w:rsidRPr="009B0763" w:rsidRDefault="005E644A" w:rsidP="009C5B8C">
            <w:pPr>
              <w:rPr>
                <w:rFonts w:ascii="Arial" w:hAnsi="Arial" w:cs="Arial"/>
              </w:rPr>
            </w:pPr>
            <w:r>
              <w:rPr>
                <w:rFonts w:ascii="Arial" w:hAnsi="Arial" w:cs="Arial"/>
              </w:rPr>
              <w:t>4</w:t>
            </w:r>
          </w:p>
        </w:tc>
        <w:tc>
          <w:tcPr>
            <w:tcW w:w="10169" w:type="dxa"/>
          </w:tcPr>
          <w:p w14:paraId="71C493C7" w14:textId="37E6B8C3" w:rsidR="005E644A" w:rsidRPr="009B0763" w:rsidRDefault="005E644A" w:rsidP="00F96ED6">
            <w:pPr>
              <w:pStyle w:val="Default"/>
              <w:rPr>
                <w:rFonts w:ascii="Arial" w:hAnsi="Arial" w:cs="Arial"/>
                <w:sz w:val="22"/>
                <w:szCs w:val="22"/>
              </w:rPr>
            </w:pPr>
            <w:r w:rsidRPr="009B0763">
              <w:rPr>
                <w:rFonts w:ascii="Arial" w:hAnsi="Arial" w:cs="Arial"/>
                <w:sz w:val="22"/>
                <w:szCs w:val="22"/>
              </w:rPr>
              <w:t xml:space="preserve">Exclude </w:t>
            </w:r>
            <w:r w:rsidR="00072E5D">
              <w:rPr>
                <w:rFonts w:ascii="Arial" w:hAnsi="Arial" w:cs="Arial"/>
                <w:sz w:val="22"/>
                <w:szCs w:val="22"/>
              </w:rPr>
              <w:t>patients with drug induced diabetes</w:t>
            </w:r>
            <w:r w:rsidR="006D1F46">
              <w:rPr>
                <w:rFonts w:ascii="Arial" w:hAnsi="Arial" w:cs="Arial"/>
                <w:sz w:val="22"/>
                <w:szCs w:val="22"/>
              </w:rPr>
              <w:t>.  ICD9 codes 249*; ICD10 codes E09*.</w:t>
            </w:r>
          </w:p>
        </w:tc>
      </w:tr>
    </w:tbl>
    <w:p w14:paraId="283DF33E" w14:textId="4115ABFD" w:rsidR="009C5B8C" w:rsidRDefault="009C5B8C" w:rsidP="009C5B8C">
      <w:pPr>
        <w:spacing w:after="0" w:line="240" w:lineRule="auto"/>
        <w:rPr>
          <w:rFonts w:ascii="Arial" w:hAnsi="Arial" w:cs="Arial"/>
        </w:rPr>
      </w:pPr>
    </w:p>
    <w:tbl>
      <w:tblPr>
        <w:tblStyle w:val="TableGrid"/>
        <w:tblW w:w="0" w:type="auto"/>
        <w:tblCellMar>
          <w:left w:w="72" w:type="dxa"/>
          <w:right w:w="72" w:type="dxa"/>
        </w:tblCellMar>
        <w:tblLook w:val="04A0" w:firstRow="1" w:lastRow="0" w:firstColumn="1" w:lastColumn="0" w:noHBand="0" w:noVBand="1"/>
      </w:tblPr>
      <w:tblGrid>
        <w:gridCol w:w="621"/>
        <w:gridCol w:w="10169"/>
      </w:tblGrid>
      <w:tr w:rsidR="00072E5D" w:rsidRPr="009B0763" w14:paraId="3BA92F48" w14:textId="77777777" w:rsidTr="0059022C">
        <w:tc>
          <w:tcPr>
            <w:tcW w:w="10790" w:type="dxa"/>
            <w:gridSpan w:val="2"/>
          </w:tcPr>
          <w:p w14:paraId="5E03322F" w14:textId="52463019" w:rsidR="00072E5D" w:rsidRPr="009B0763" w:rsidRDefault="00072E5D" w:rsidP="004C2BE5">
            <w:pPr>
              <w:rPr>
                <w:rFonts w:ascii="Arial" w:hAnsi="Arial" w:cs="Arial"/>
                <w:b/>
              </w:rPr>
            </w:pPr>
            <w:r w:rsidRPr="009B0763">
              <w:rPr>
                <w:rFonts w:ascii="Arial" w:hAnsi="Arial" w:cs="Arial"/>
                <w:b/>
              </w:rPr>
              <w:t>Pseudocode</w:t>
            </w:r>
            <w:r>
              <w:rPr>
                <w:rFonts w:ascii="Arial" w:hAnsi="Arial" w:cs="Arial"/>
                <w:b/>
              </w:rPr>
              <w:t xml:space="preserve"> for </w:t>
            </w:r>
            <w:r w:rsidR="004C2BE5">
              <w:rPr>
                <w:rFonts w:ascii="Arial" w:hAnsi="Arial" w:cs="Arial"/>
                <w:b/>
              </w:rPr>
              <w:t>controls</w:t>
            </w:r>
          </w:p>
        </w:tc>
      </w:tr>
      <w:tr w:rsidR="00072E5D" w:rsidRPr="009B0763" w14:paraId="67C6ADC3" w14:textId="77777777" w:rsidTr="0059022C">
        <w:tc>
          <w:tcPr>
            <w:tcW w:w="621" w:type="dxa"/>
          </w:tcPr>
          <w:p w14:paraId="6487C0CF" w14:textId="77777777" w:rsidR="00072E5D" w:rsidRPr="009B0763" w:rsidRDefault="00072E5D" w:rsidP="0059022C">
            <w:pPr>
              <w:rPr>
                <w:rFonts w:ascii="Arial" w:hAnsi="Arial" w:cs="Arial"/>
                <w:b/>
              </w:rPr>
            </w:pPr>
            <w:r w:rsidRPr="009B0763">
              <w:rPr>
                <w:rFonts w:ascii="Arial" w:hAnsi="Arial" w:cs="Arial"/>
                <w:b/>
              </w:rPr>
              <w:t xml:space="preserve">Step </w:t>
            </w:r>
          </w:p>
        </w:tc>
        <w:tc>
          <w:tcPr>
            <w:tcW w:w="10169" w:type="dxa"/>
          </w:tcPr>
          <w:p w14:paraId="46FCB55E" w14:textId="77777777" w:rsidR="00072E5D" w:rsidRPr="009B0763" w:rsidRDefault="00072E5D" w:rsidP="0059022C">
            <w:pPr>
              <w:rPr>
                <w:rFonts w:ascii="Arial" w:hAnsi="Arial" w:cs="Arial"/>
                <w:b/>
              </w:rPr>
            </w:pPr>
            <w:r w:rsidRPr="009B0763">
              <w:rPr>
                <w:rFonts w:ascii="Arial" w:hAnsi="Arial" w:cs="Arial"/>
                <w:b/>
              </w:rPr>
              <w:t xml:space="preserve">Description </w:t>
            </w:r>
          </w:p>
        </w:tc>
      </w:tr>
      <w:tr w:rsidR="003602AC" w:rsidRPr="009B0763" w14:paraId="28626B94" w14:textId="77777777" w:rsidTr="0059022C">
        <w:tc>
          <w:tcPr>
            <w:tcW w:w="621" w:type="dxa"/>
          </w:tcPr>
          <w:p w14:paraId="0816786A" w14:textId="62C5CE8D" w:rsidR="003602AC" w:rsidRPr="009B0763" w:rsidRDefault="003602AC" w:rsidP="0059022C">
            <w:pPr>
              <w:rPr>
                <w:rFonts w:ascii="Arial" w:hAnsi="Arial" w:cs="Arial"/>
              </w:rPr>
            </w:pPr>
            <w:r>
              <w:rPr>
                <w:rFonts w:ascii="Arial" w:hAnsi="Arial" w:cs="Arial"/>
              </w:rPr>
              <w:t>0</w:t>
            </w:r>
          </w:p>
        </w:tc>
        <w:tc>
          <w:tcPr>
            <w:tcW w:w="10169" w:type="dxa"/>
          </w:tcPr>
          <w:p w14:paraId="61161CF9" w14:textId="0437BAE5" w:rsidR="003602AC" w:rsidRDefault="003602AC" w:rsidP="0030298D">
            <w:pPr>
              <w:pStyle w:val="Default"/>
              <w:rPr>
                <w:rFonts w:ascii="Arial" w:hAnsi="Arial" w:cs="Arial"/>
                <w:sz w:val="22"/>
                <w:szCs w:val="22"/>
              </w:rPr>
            </w:pPr>
            <w:r>
              <w:rPr>
                <w:rFonts w:ascii="Arial" w:hAnsi="Arial" w:cs="Arial"/>
                <w:sz w:val="22"/>
                <w:szCs w:val="22"/>
              </w:rPr>
              <w:t>A</w:t>
            </w:r>
            <w:r>
              <w:t xml:space="preserve">ge </w:t>
            </w:r>
            <w:r>
              <w:rPr>
                <w:rStyle w:val="readonlyfield"/>
              </w:rPr>
              <w:t>&gt;</w:t>
            </w:r>
            <w:r>
              <w:t xml:space="preserve"> </w:t>
            </w:r>
            <w:r>
              <w:rPr>
                <w:rStyle w:val="readonlyfield"/>
              </w:rPr>
              <w:t xml:space="preserve">4 years; </w:t>
            </w:r>
            <w:r w:rsidR="0030298D">
              <w:t>2 of any diagnoses 2 or more years apart</w:t>
            </w:r>
          </w:p>
        </w:tc>
      </w:tr>
      <w:tr w:rsidR="00072E5D" w:rsidRPr="009B0763" w14:paraId="4609DFD3" w14:textId="77777777" w:rsidTr="0059022C">
        <w:tc>
          <w:tcPr>
            <w:tcW w:w="621" w:type="dxa"/>
          </w:tcPr>
          <w:p w14:paraId="4C051125" w14:textId="4CD144AB" w:rsidR="00072E5D" w:rsidRPr="009B0763" w:rsidRDefault="003602AC" w:rsidP="0059022C">
            <w:pPr>
              <w:rPr>
                <w:rFonts w:ascii="Arial" w:hAnsi="Arial" w:cs="Arial"/>
              </w:rPr>
            </w:pPr>
            <w:r>
              <w:rPr>
                <w:rFonts w:ascii="Arial" w:hAnsi="Arial" w:cs="Arial"/>
              </w:rPr>
              <w:t>1</w:t>
            </w:r>
          </w:p>
        </w:tc>
        <w:tc>
          <w:tcPr>
            <w:tcW w:w="10169" w:type="dxa"/>
          </w:tcPr>
          <w:p w14:paraId="796F8337" w14:textId="7A8831FB" w:rsidR="00072E5D" w:rsidRPr="00072E5D" w:rsidRDefault="004C2BE5" w:rsidP="00296673">
            <w:pPr>
              <w:pStyle w:val="Default"/>
              <w:rPr>
                <w:rFonts w:ascii="Arial" w:hAnsi="Arial" w:cs="Arial"/>
                <w:sz w:val="22"/>
                <w:szCs w:val="22"/>
              </w:rPr>
            </w:pPr>
            <w:r>
              <w:rPr>
                <w:rFonts w:ascii="Arial" w:hAnsi="Arial" w:cs="Arial"/>
                <w:sz w:val="22"/>
                <w:szCs w:val="22"/>
              </w:rPr>
              <w:t>Ex</w:t>
            </w:r>
            <w:r w:rsidR="00072E5D" w:rsidRPr="00072E5D">
              <w:rPr>
                <w:rFonts w:ascii="Arial" w:hAnsi="Arial" w:cs="Arial"/>
                <w:sz w:val="22"/>
                <w:szCs w:val="22"/>
              </w:rPr>
              <w:t xml:space="preserve">clude patients with </w:t>
            </w:r>
            <w:r>
              <w:rPr>
                <w:rFonts w:ascii="Arial" w:hAnsi="Arial" w:cs="Arial"/>
                <w:sz w:val="22"/>
                <w:szCs w:val="22"/>
              </w:rPr>
              <w:t>any diabetes</w:t>
            </w:r>
            <w:r w:rsidR="00072E5D" w:rsidRPr="00072E5D">
              <w:rPr>
                <w:rFonts w:ascii="Arial" w:hAnsi="Arial" w:cs="Arial"/>
                <w:sz w:val="22"/>
                <w:szCs w:val="22"/>
              </w:rPr>
              <w:t xml:space="preserve"> diagnosis </w:t>
            </w:r>
            <w:r>
              <w:rPr>
                <w:rFonts w:ascii="Arial" w:hAnsi="Arial" w:cs="Arial"/>
                <w:sz w:val="22"/>
                <w:szCs w:val="22"/>
              </w:rPr>
              <w:t>or</w:t>
            </w:r>
            <w:r w:rsidR="00072E5D" w:rsidRPr="00072E5D">
              <w:rPr>
                <w:rFonts w:ascii="Arial" w:hAnsi="Arial" w:cs="Arial"/>
                <w:sz w:val="22"/>
                <w:szCs w:val="22"/>
              </w:rPr>
              <w:t xml:space="preserve"> that have been prescribed insulin.</w:t>
            </w:r>
            <w:r w:rsidR="006D1F46">
              <w:rPr>
                <w:rFonts w:ascii="Arial" w:hAnsi="Arial" w:cs="Arial"/>
                <w:sz w:val="22"/>
                <w:szCs w:val="22"/>
              </w:rPr>
              <w:t xml:space="preserve"> ICD9 codes 249* and 250*; ICD10 codes E09*, E10*, E11*; see Table </w:t>
            </w:r>
            <w:r w:rsidR="00296673">
              <w:rPr>
                <w:rFonts w:ascii="Arial" w:hAnsi="Arial" w:cs="Arial"/>
                <w:sz w:val="22"/>
                <w:szCs w:val="22"/>
              </w:rPr>
              <w:t>1</w:t>
            </w:r>
            <w:r w:rsidR="006D1F46">
              <w:rPr>
                <w:rFonts w:ascii="Arial" w:hAnsi="Arial" w:cs="Arial"/>
                <w:sz w:val="22"/>
                <w:szCs w:val="22"/>
              </w:rPr>
              <w:t xml:space="preserve"> for insulin </w:t>
            </w:r>
            <w:proofErr w:type="spellStart"/>
            <w:r w:rsidR="006D1F46">
              <w:rPr>
                <w:rFonts w:ascii="Arial" w:hAnsi="Arial" w:cs="Arial"/>
                <w:sz w:val="22"/>
                <w:szCs w:val="22"/>
              </w:rPr>
              <w:t>RXNorm</w:t>
            </w:r>
            <w:proofErr w:type="spellEnd"/>
            <w:r w:rsidR="006D1F46">
              <w:rPr>
                <w:rFonts w:ascii="Arial" w:hAnsi="Arial" w:cs="Arial"/>
                <w:sz w:val="22"/>
                <w:szCs w:val="22"/>
              </w:rPr>
              <w:t xml:space="preserve"> codes.</w:t>
            </w:r>
          </w:p>
        </w:tc>
      </w:tr>
      <w:tr w:rsidR="00072E5D" w:rsidRPr="009B0763" w14:paraId="0F430434" w14:textId="77777777" w:rsidTr="0059022C">
        <w:tc>
          <w:tcPr>
            <w:tcW w:w="621" w:type="dxa"/>
          </w:tcPr>
          <w:p w14:paraId="03DC6B76" w14:textId="3CDFE2CB" w:rsidR="00072E5D" w:rsidRPr="009B0763" w:rsidRDefault="003602AC" w:rsidP="0059022C">
            <w:pPr>
              <w:rPr>
                <w:rFonts w:ascii="Arial" w:hAnsi="Arial" w:cs="Arial"/>
              </w:rPr>
            </w:pPr>
            <w:r>
              <w:rPr>
                <w:rFonts w:ascii="Arial" w:hAnsi="Arial" w:cs="Arial"/>
              </w:rPr>
              <w:t>2</w:t>
            </w:r>
          </w:p>
        </w:tc>
        <w:tc>
          <w:tcPr>
            <w:tcW w:w="10169" w:type="dxa"/>
          </w:tcPr>
          <w:p w14:paraId="3A133E1F" w14:textId="66BD87AA" w:rsidR="00072E5D" w:rsidRPr="00072E5D" w:rsidRDefault="00072E5D" w:rsidP="00296673">
            <w:pPr>
              <w:pStyle w:val="Default"/>
              <w:rPr>
                <w:rFonts w:ascii="Arial" w:hAnsi="Arial" w:cs="Arial"/>
                <w:sz w:val="22"/>
                <w:szCs w:val="22"/>
              </w:rPr>
            </w:pPr>
            <w:r w:rsidRPr="00072E5D">
              <w:rPr>
                <w:rFonts w:ascii="Arial" w:hAnsi="Arial" w:cs="Arial"/>
                <w:sz w:val="22"/>
                <w:szCs w:val="22"/>
              </w:rPr>
              <w:t>Exclude patients that have been prescribed T2D medications.</w:t>
            </w:r>
            <w:r w:rsidR="006D1F46">
              <w:rPr>
                <w:rFonts w:ascii="Arial" w:hAnsi="Arial" w:cs="Arial"/>
                <w:sz w:val="22"/>
                <w:szCs w:val="22"/>
              </w:rPr>
              <w:t xml:space="preserve"> See Table </w:t>
            </w:r>
            <w:r w:rsidR="00296673">
              <w:rPr>
                <w:rFonts w:ascii="Arial" w:hAnsi="Arial" w:cs="Arial"/>
                <w:sz w:val="22"/>
                <w:szCs w:val="22"/>
              </w:rPr>
              <w:t>2</w:t>
            </w:r>
            <w:r w:rsidR="006D1F46">
              <w:rPr>
                <w:rFonts w:ascii="Arial" w:hAnsi="Arial" w:cs="Arial"/>
                <w:sz w:val="22"/>
                <w:szCs w:val="22"/>
              </w:rPr>
              <w:t xml:space="preserve"> for </w:t>
            </w:r>
            <w:proofErr w:type="spellStart"/>
            <w:r w:rsidR="006D1F46">
              <w:rPr>
                <w:rFonts w:ascii="Arial" w:hAnsi="Arial" w:cs="Arial"/>
                <w:sz w:val="22"/>
                <w:szCs w:val="22"/>
              </w:rPr>
              <w:t>RXNorm</w:t>
            </w:r>
            <w:proofErr w:type="spellEnd"/>
            <w:r w:rsidR="006D1F46">
              <w:rPr>
                <w:rFonts w:ascii="Arial" w:hAnsi="Arial" w:cs="Arial"/>
                <w:sz w:val="22"/>
                <w:szCs w:val="22"/>
              </w:rPr>
              <w:t xml:space="preserve"> codes</w:t>
            </w:r>
          </w:p>
        </w:tc>
      </w:tr>
      <w:tr w:rsidR="00072E5D" w:rsidRPr="009B0763" w14:paraId="7B468375" w14:textId="77777777" w:rsidTr="0059022C">
        <w:tc>
          <w:tcPr>
            <w:tcW w:w="621" w:type="dxa"/>
          </w:tcPr>
          <w:p w14:paraId="190509AC" w14:textId="1A068BCE" w:rsidR="00072E5D" w:rsidRPr="009B0763" w:rsidRDefault="003602AC" w:rsidP="0059022C">
            <w:pPr>
              <w:rPr>
                <w:rFonts w:ascii="Arial" w:hAnsi="Arial" w:cs="Arial"/>
              </w:rPr>
            </w:pPr>
            <w:r>
              <w:rPr>
                <w:rFonts w:ascii="Arial" w:hAnsi="Arial" w:cs="Arial"/>
              </w:rPr>
              <w:t>3</w:t>
            </w:r>
          </w:p>
        </w:tc>
        <w:tc>
          <w:tcPr>
            <w:tcW w:w="10169" w:type="dxa"/>
          </w:tcPr>
          <w:p w14:paraId="370CA5EF" w14:textId="35FBBF0E" w:rsidR="00072E5D" w:rsidRPr="009B0763" w:rsidRDefault="003602AC" w:rsidP="00296673">
            <w:pPr>
              <w:rPr>
                <w:rFonts w:ascii="Arial" w:hAnsi="Arial" w:cs="Arial"/>
              </w:rPr>
            </w:pPr>
            <w:r w:rsidRPr="009B0763">
              <w:rPr>
                <w:rFonts w:ascii="Arial" w:hAnsi="Arial" w:cs="Arial"/>
              </w:rPr>
              <w:t xml:space="preserve">Exclude </w:t>
            </w:r>
            <w:r>
              <w:rPr>
                <w:rFonts w:ascii="Arial" w:hAnsi="Arial" w:cs="Arial"/>
              </w:rPr>
              <w:t>patients</w:t>
            </w:r>
            <w:r w:rsidRPr="009B0763">
              <w:rPr>
                <w:rFonts w:ascii="Arial" w:hAnsi="Arial" w:cs="Arial"/>
              </w:rPr>
              <w:t xml:space="preserve"> with malignant cancer, identified by 4 or more inpatient or outpatient diagnoses on different days with any ICD9 code between 140.* and 209* and any C* ICD10 code</w:t>
            </w:r>
          </w:p>
        </w:tc>
      </w:tr>
      <w:tr w:rsidR="00072E5D" w:rsidRPr="009B0763" w14:paraId="79DCCECF" w14:textId="77777777" w:rsidTr="0059022C">
        <w:trPr>
          <w:trHeight w:val="233"/>
        </w:trPr>
        <w:tc>
          <w:tcPr>
            <w:tcW w:w="621" w:type="dxa"/>
          </w:tcPr>
          <w:p w14:paraId="5B2E2433" w14:textId="6B7A6ECD" w:rsidR="00072E5D" w:rsidRPr="009B0763" w:rsidRDefault="003602AC" w:rsidP="0059022C">
            <w:pPr>
              <w:rPr>
                <w:rFonts w:ascii="Arial" w:hAnsi="Arial" w:cs="Arial"/>
              </w:rPr>
            </w:pPr>
            <w:r>
              <w:rPr>
                <w:rFonts w:ascii="Arial" w:hAnsi="Arial" w:cs="Arial"/>
              </w:rPr>
              <w:t>4</w:t>
            </w:r>
          </w:p>
        </w:tc>
        <w:tc>
          <w:tcPr>
            <w:tcW w:w="10169" w:type="dxa"/>
          </w:tcPr>
          <w:p w14:paraId="79317830" w14:textId="43A4B52F" w:rsidR="00072E5D" w:rsidRPr="009B0763" w:rsidRDefault="003602AC" w:rsidP="0059022C">
            <w:pPr>
              <w:rPr>
                <w:rFonts w:ascii="Arial" w:hAnsi="Arial" w:cs="Arial"/>
              </w:rPr>
            </w:pPr>
            <w:r w:rsidRPr="00072E5D">
              <w:rPr>
                <w:rFonts w:ascii="Arial" w:hAnsi="Arial" w:cs="Arial"/>
              </w:rPr>
              <w:t xml:space="preserve">Exclude patients </w:t>
            </w:r>
            <w:r>
              <w:rPr>
                <w:rFonts w:ascii="Arial" w:hAnsi="Arial" w:cs="Arial"/>
              </w:rPr>
              <w:t>with</w:t>
            </w:r>
            <w:r w:rsidRPr="00072E5D">
              <w:rPr>
                <w:rFonts w:ascii="Arial" w:hAnsi="Arial" w:cs="Arial"/>
              </w:rPr>
              <w:t xml:space="preserve"> </w:t>
            </w:r>
            <w:r>
              <w:rPr>
                <w:rFonts w:ascii="Arial" w:hAnsi="Arial" w:cs="Arial"/>
              </w:rPr>
              <w:t>a cystic fibrosis diagnosis</w:t>
            </w:r>
            <w:r w:rsidR="006D1F46" w:rsidRPr="00072E5D">
              <w:rPr>
                <w:rFonts w:ascii="Arial" w:hAnsi="Arial" w:cs="Arial"/>
              </w:rPr>
              <w:t>.</w:t>
            </w:r>
            <w:r w:rsidR="006D1F46">
              <w:rPr>
                <w:rFonts w:ascii="Arial" w:hAnsi="Arial" w:cs="Arial"/>
              </w:rPr>
              <w:t xml:space="preserve"> ICD9 codes 277.0* and ICD10 codes E84*.</w:t>
            </w:r>
          </w:p>
        </w:tc>
      </w:tr>
    </w:tbl>
    <w:p w14:paraId="7773DDBA" w14:textId="330E1A16" w:rsidR="003C0CAE" w:rsidRDefault="003C0CAE" w:rsidP="009C5B8C">
      <w:pPr>
        <w:spacing w:after="0" w:line="240" w:lineRule="auto"/>
        <w:rPr>
          <w:rFonts w:ascii="Arial" w:hAnsi="Arial" w:cs="Arial"/>
        </w:rPr>
      </w:pPr>
    </w:p>
    <w:p w14:paraId="08755467" w14:textId="1359910D" w:rsidR="0033535F" w:rsidRDefault="0033535F" w:rsidP="009C5B8C">
      <w:pPr>
        <w:spacing w:after="0" w:line="240" w:lineRule="auto"/>
        <w:rPr>
          <w:rFonts w:ascii="Arial" w:hAnsi="Arial" w:cs="Arial"/>
        </w:rPr>
      </w:pPr>
      <w:r>
        <w:rPr>
          <w:rFonts w:ascii="Arial" w:hAnsi="Arial" w:cs="Arial"/>
        </w:rPr>
        <w:t>Table 1.  Insulin medications</w:t>
      </w:r>
    </w:p>
    <w:tbl>
      <w:tblPr>
        <w:tblStyle w:val="TableGrid"/>
        <w:tblW w:w="0" w:type="auto"/>
        <w:tblLook w:val="04A0" w:firstRow="1" w:lastRow="0" w:firstColumn="1" w:lastColumn="0" w:noHBand="0" w:noVBand="1"/>
      </w:tblPr>
      <w:tblGrid>
        <w:gridCol w:w="4040"/>
        <w:gridCol w:w="2560"/>
      </w:tblGrid>
      <w:tr w:rsidR="0033535F" w:rsidRPr="0033535F" w14:paraId="7ABDE130" w14:textId="77777777" w:rsidTr="0033535F">
        <w:trPr>
          <w:trHeight w:val="300"/>
        </w:trPr>
        <w:tc>
          <w:tcPr>
            <w:tcW w:w="4040" w:type="dxa"/>
            <w:hideMark/>
          </w:tcPr>
          <w:p w14:paraId="591DDF63" w14:textId="27743529" w:rsidR="0033535F" w:rsidRPr="0033535F" w:rsidRDefault="0033535F" w:rsidP="0033535F">
            <w:pPr>
              <w:rPr>
                <w:rFonts w:ascii="Arial" w:hAnsi="Arial" w:cs="Arial"/>
                <w:b/>
                <w:bCs/>
              </w:rPr>
            </w:pPr>
            <w:r w:rsidRPr="0033535F">
              <w:rPr>
                <w:rFonts w:ascii="Arial" w:hAnsi="Arial" w:cs="Arial"/>
                <w:b/>
                <w:bCs/>
              </w:rPr>
              <w:t>Generic name</w:t>
            </w:r>
          </w:p>
        </w:tc>
        <w:tc>
          <w:tcPr>
            <w:tcW w:w="2560" w:type="dxa"/>
            <w:hideMark/>
          </w:tcPr>
          <w:p w14:paraId="6A0FC9CE" w14:textId="21895C9D" w:rsidR="0033535F" w:rsidRPr="0033535F" w:rsidRDefault="0033535F" w:rsidP="0033535F">
            <w:pPr>
              <w:rPr>
                <w:rFonts w:ascii="Arial" w:hAnsi="Arial" w:cs="Arial"/>
                <w:b/>
                <w:bCs/>
              </w:rPr>
            </w:pPr>
            <w:r w:rsidRPr="0033535F">
              <w:rPr>
                <w:rFonts w:ascii="Arial" w:hAnsi="Arial" w:cs="Arial"/>
                <w:b/>
                <w:bCs/>
              </w:rPr>
              <w:t xml:space="preserve">RXNORM </w:t>
            </w:r>
            <w:proofErr w:type="spellStart"/>
            <w:r w:rsidRPr="0033535F">
              <w:rPr>
                <w:rFonts w:ascii="Arial" w:hAnsi="Arial" w:cs="Arial"/>
                <w:b/>
                <w:bCs/>
              </w:rPr>
              <w:t>RxCUI</w:t>
            </w:r>
            <w:proofErr w:type="spellEnd"/>
            <w:r w:rsidRPr="0033535F">
              <w:rPr>
                <w:rFonts w:ascii="Arial" w:hAnsi="Arial" w:cs="Arial"/>
                <w:b/>
                <w:bCs/>
              </w:rPr>
              <w:t xml:space="preserve"> for generic name</w:t>
            </w:r>
          </w:p>
        </w:tc>
      </w:tr>
      <w:tr w:rsidR="0033535F" w:rsidRPr="0033535F" w14:paraId="04F49818" w14:textId="77777777" w:rsidTr="0033535F">
        <w:trPr>
          <w:trHeight w:val="300"/>
        </w:trPr>
        <w:tc>
          <w:tcPr>
            <w:tcW w:w="4040" w:type="dxa"/>
            <w:hideMark/>
          </w:tcPr>
          <w:p w14:paraId="6174EA38" w14:textId="77777777" w:rsidR="0033535F" w:rsidRPr="0033535F" w:rsidRDefault="0033535F" w:rsidP="0033535F">
            <w:pPr>
              <w:rPr>
                <w:rFonts w:ascii="Arial" w:hAnsi="Arial" w:cs="Arial"/>
              </w:rPr>
            </w:pPr>
            <w:r w:rsidRPr="0033535F">
              <w:rPr>
                <w:rFonts w:ascii="Arial" w:hAnsi="Arial" w:cs="Arial"/>
              </w:rPr>
              <w:t xml:space="preserve">insulin </w:t>
            </w:r>
            <w:proofErr w:type="spellStart"/>
            <w:r w:rsidRPr="0033535F">
              <w:rPr>
                <w:rFonts w:ascii="Arial" w:hAnsi="Arial" w:cs="Arial"/>
              </w:rPr>
              <w:t>lispro</w:t>
            </w:r>
            <w:proofErr w:type="spellEnd"/>
          </w:p>
        </w:tc>
        <w:tc>
          <w:tcPr>
            <w:tcW w:w="2560" w:type="dxa"/>
            <w:hideMark/>
          </w:tcPr>
          <w:p w14:paraId="5D4A42E1" w14:textId="77777777" w:rsidR="0033535F" w:rsidRPr="0033535F" w:rsidRDefault="0033535F" w:rsidP="0033535F">
            <w:pPr>
              <w:rPr>
                <w:rFonts w:ascii="Arial" w:hAnsi="Arial" w:cs="Arial"/>
              </w:rPr>
            </w:pPr>
            <w:r w:rsidRPr="0033535F">
              <w:rPr>
                <w:rFonts w:ascii="Arial" w:hAnsi="Arial" w:cs="Arial"/>
              </w:rPr>
              <w:t>86009</w:t>
            </w:r>
          </w:p>
        </w:tc>
      </w:tr>
      <w:tr w:rsidR="0033535F" w:rsidRPr="0033535F" w14:paraId="1DC3E75B" w14:textId="77777777" w:rsidTr="0033535F">
        <w:trPr>
          <w:trHeight w:val="300"/>
        </w:trPr>
        <w:tc>
          <w:tcPr>
            <w:tcW w:w="4040" w:type="dxa"/>
            <w:hideMark/>
          </w:tcPr>
          <w:p w14:paraId="367B88D7" w14:textId="77777777" w:rsidR="0033535F" w:rsidRPr="0033535F" w:rsidRDefault="0033535F" w:rsidP="0033535F">
            <w:pPr>
              <w:rPr>
                <w:rFonts w:ascii="Arial" w:hAnsi="Arial" w:cs="Arial"/>
              </w:rPr>
            </w:pPr>
            <w:r w:rsidRPr="0033535F">
              <w:rPr>
                <w:rFonts w:ascii="Arial" w:hAnsi="Arial" w:cs="Arial"/>
              </w:rPr>
              <w:t xml:space="preserve">insulin </w:t>
            </w:r>
            <w:proofErr w:type="spellStart"/>
            <w:r w:rsidRPr="0033535F">
              <w:rPr>
                <w:rFonts w:ascii="Arial" w:hAnsi="Arial" w:cs="Arial"/>
              </w:rPr>
              <w:t>glulisine</w:t>
            </w:r>
            <w:proofErr w:type="spellEnd"/>
          </w:p>
        </w:tc>
        <w:tc>
          <w:tcPr>
            <w:tcW w:w="2560" w:type="dxa"/>
            <w:hideMark/>
          </w:tcPr>
          <w:p w14:paraId="3C3D7BD1" w14:textId="77777777" w:rsidR="0033535F" w:rsidRPr="0033535F" w:rsidRDefault="0033535F" w:rsidP="0033535F">
            <w:pPr>
              <w:rPr>
                <w:rFonts w:ascii="Arial" w:hAnsi="Arial" w:cs="Arial"/>
              </w:rPr>
            </w:pPr>
            <w:r w:rsidRPr="0033535F">
              <w:rPr>
                <w:rFonts w:ascii="Arial" w:hAnsi="Arial" w:cs="Arial"/>
              </w:rPr>
              <w:t>400008</w:t>
            </w:r>
          </w:p>
        </w:tc>
      </w:tr>
      <w:tr w:rsidR="0033535F" w:rsidRPr="0033535F" w14:paraId="178A4392" w14:textId="77777777" w:rsidTr="0033535F">
        <w:trPr>
          <w:trHeight w:val="300"/>
        </w:trPr>
        <w:tc>
          <w:tcPr>
            <w:tcW w:w="4040" w:type="dxa"/>
            <w:hideMark/>
          </w:tcPr>
          <w:p w14:paraId="7F8F4D25" w14:textId="77777777" w:rsidR="0033535F" w:rsidRPr="0033535F" w:rsidRDefault="0033535F" w:rsidP="0033535F">
            <w:pPr>
              <w:rPr>
                <w:rFonts w:ascii="Arial" w:hAnsi="Arial" w:cs="Arial"/>
              </w:rPr>
            </w:pPr>
            <w:proofErr w:type="gramStart"/>
            <w:r w:rsidRPr="0033535F">
              <w:rPr>
                <w:rFonts w:ascii="Arial" w:hAnsi="Arial" w:cs="Arial"/>
              </w:rPr>
              <w:t>insulin</w:t>
            </w:r>
            <w:proofErr w:type="gramEnd"/>
            <w:r w:rsidRPr="0033535F">
              <w:rPr>
                <w:rFonts w:ascii="Arial" w:hAnsi="Arial" w:cs="Arial"/>
              </w:rPr>
              <w:t xml:space="preserve"> glargine, human </w:t>
            </w:r>
            <w:proofErr w:type="spellStart"/>
            <w:r w:rsidRPr="0033535F">
              <w:rPr>
                <w:rFonts w:ascii="Arial" w:hAnsi="Arial" w:cs="Arial"/>
              </w:rPr>
              <w:t>recombin</w:t>
            </w:r>
            <w:proofErr w:type="spellEnd"/>
            <w:r w:rsidRPr="0033535F">
              <w:rPr>
                <w:rFonts w:ascii="Arial" w:hAnsi="Arial" w:cs="Arial"/>
              </w:rPr>
              <w:t>. analog</w:t>
            </w:r>
          </w:p>
        </w:tc>
        <w:tc>
          <w:tcPr>
            <w:tcW w:w="2560" w:type="dxa"/>
            <w:hideMark/>
          </w:tcPr>
          <w:p w14:paraId="378F8266" w14:textId="77777777" w:rsidR="0033535F" w:rsidRPr="0033535F" w:rsidRDefault="0033535F" w:rsidP="0033535F">
            <w:pPr>
              <w:rPr>
                <w:rFonts w:ascii="Arial" w:hAnsi="Arial" w:cs="Arial"/>
              </w:rPr>
            </w:pPr>
            <w:r w:rsidRPr="0033535F">
              <w:rPr>
                <w:rFonts w:ascii="Arial" w:hAnsi="Arial" w:cs="Arial"/>
              </w:rPr>
              <w:t>274783</w:t>
            </w:r>
          </w:p>
        </w:tc>
      </w:tr>
      <w:tr w:rsidR="0033535F" w:rsidRPr="0033535F" w14:paraId="56710F89" w14:textId="77777777" w:rsidTr="0033535F">
        <w:trPr>
          <w:trHeight w:val="300"/>
        </w:trPr>
        <w:tc>
          <w:tcPr>
            <w:tcW w:w="4040" w:type="dxa"/>
            <w:hideMark/>
          </w:tcPr>
          <w:p w14:paraId="2E4EFA94" w14:textId="77777777" w:rsidR="0033535F" w:rsidRPr="0033535F" w:rsidRDefault="0033535F" w:rsidP="0033535F">
            <w:pPr>
              <w:rPr>
                <w:rFonts w:ascii="Arial" w:hAnsi="Arial" w:cs="Arial"/>
              </w:rPr>
            </w:pPr>
            <w:r w:rsidRPr="0033535F">
              <w:rPr>
                <w:rFonts w:ascii="Arial" w:hAnsi="Arial" w:cs="Arial"/>
              </w:rPr>
              <w:t xml:space="preserve">insulin </w:t>
            </w:r>
            <w:proofErr w:type="spellStart"/>
            <w:r w:rsidRPr="0033535F">
              <w:rPr>
                <w:rFonts w:ascii="Arial" w:hAnsi="Arial" w:cs="Arial"/>
              </w:rPr>
              <w:t>aspart</w:t>
            </w:r>
            <w:proofErr w:type="spellEnd"/>
          </w:p>
        </w:tc>
        <w:tc>
          <w:tcPr>
            <w:tcW w:w="2560" w:type="dxa"/>
            <w:hideMark/>
          </w:tcPr>
          <w:p w14:paraId="26EFBEA2" w14:textId="77777777" w:rsidR="0033535F" w:rsidRPr="0033535F" w:rsidRDefault="0033535F" w:rsidP="0033535F">
            <w:pPr>
              <w:rPr>
                <w:rFonts w:ascii="Arial" w:hAnsi="Arial" w:cs="Arial"/>
              </w:rPr>
            </w:pPr>
            <w:r w:rsidRPr="0033535F">
              <w:rPr>
                <w:rFonts w:ascii="Arial" w:hAnsi="Arial" w:cs="Arial"/>
              </w:rPr>
              <w:t>51428</w:t>
            </w:r>
          </w:p>
        </w:tc>
      </w:tr>
      <w:tr w:rsidR="0033535F" w:rsidRPr="0033535F" w14:paraId="21637668" w14:textId="77777777" w:rsidTr="0033535F">
        <w:trPr>
          <w:trHeight w:val="300"/>
        </w:trPr>
        <w:tc>
          <w:tcPr>
            <w:tcW w:w="4040" w:type="dxa"/>
            <w:hideMark/>
          </w:tcPr>
          <w:p w14:paraId="4A6DEDEF" w14:textId="77777777" w:rsidR="0033535F" w:rsidRPr="0033535F" w:rsidRDefault="0033535F" w:rsidP="0033535F">
            <w:pPr>
              <w:rPr>
                <w:rFonts w:ascii="Arial" w:hAnsi="Arial" w:cs="Arial"/>
              </w:rPr>
            </w:pPr>
            <w:proofErr w:type="spellStart"/>
            <w:r w:rsidRPr="0033535F">
              <w:rPr>
                <w:rFonts w:ascii="Arial" w:hAnsi="Arial" w:cs="Arial"/>
              </w:rPr>
              <w:t>humulin</w:t>
            </w:r>
            <w:proofErr w:type="spellEnd"/>
          </w:p>
        </w:tc>
        <w:tc>
          <w:tcPr>
            <w:tcW w:w="2560" w:type="dxa"/>
            <w:hideMark/>
          </w:tcPr>
          <w:p w14:paraId="764DCAA1" w14:textId="77777777" w:rsidR="0033535F" w:rsidRPr="0033535F" w:rsidRDefault="0033535F" w:rsidP="0033535F">
            <w:pPr>
              <w:rPr>
                <w:rFonts w:ascii="Arial" w:hAnsi="Arial" w:cs="Arial"/>
              </w:rPr>
            </w:pPr>
            <w:r w:rsidRPr="0033535F">
              <w:rPr>
                <w:rFonts w:ascii="Arial" w:hAnsi="Arial" w:cs="Arial"/>
              </w:rPr>
              <w:t>5459</w:t>
            </w:r>
          </w:p>
        </w:tc>
      </w:tr>
      <w:tr w:rsidR="0033535F" w:rsidRPr="0033535F" w14:paraId="107F19D9" w14:textId="77777777" w:rsidTr="0033535F">
        <w:trPr>
          <w:trHeight w:val="300"/>
        </w:trPr>
        <w:tc>
          <w:tcPr>
            <w:tcW w:w="4040" w:type="dxa"/>
            <w:hideMark/>
          </w:tcPr>
          <w:p w14:paraId="7FC22741" w14:textId="77777777" w:rsidR="0033535F" w:rsidRPr="0033535F" w:rsidRDefault="0033535F" w:rsidP="0033535F">
            <w:pPr>
              <w:rPr>
                <w:rFonts w:ascii="Arial" w:hAnsi="Arial" w:cs="Arial"/>
              </w:rPr>
            </w:pPr>
            <w:proofErr w:type="spellStart"/>
            <w:r w:rsidRPr="0033535F">
              <w:rPr>
                <w:rFonts w:ascii="Arial" w:hAnsi="Arial" w:cs="Arial"/>
              </w:rPr>
              <w:t>iletin</w:t>
            </w:r>
            <w:proofErr w:type="spellEnd"/>
          </w:p>
        </w:tc>
        <w:tc>
          <w:tcPr>
            <w:tcW w:w="2560" w:type="dxa"/>
            <w:hideMark/>
          </w:tcPr>
          <w:p w14:paraId="5668E0A6" w14:textId="77777777" w:rsidR="0033535F" w:rsidRPr="0033535F" w:rsidRDefault="0033535F" w:rsidP="0033535F">
            <w:pPr>
              <w:rPr>
                <w:rFonts w:ascii="Arial" w:hAnsi="Arial" w:cs="Arial"/>
              </w:rPr>
            </w:pPr>
            <w:r w:rsidRPr="0033535F">
              <w:rPr>
                <w:rFonts w:ascii="Arial" w:hAnsi="Arial" w:cs="Arial"/>
              </w:rPr>
              <w:t>217706</w:t>
            </w:r>
          </w:p>
        </w:tc>
      </w:tr>
      <w:tr w:rsidR="0033535F" w:rsidRPr="0033535F" w14:paraId="30636597" w14:textId="77777777" w:rsidTr="0033535F">
        <w:trPr>
          <w:trHeight w:val="300"/>
        </w:trPr>
        <w:tc>
          <w:tcPr>
            <w:tcW w:w="4040" w:type="dxa"/>
            <w:hideMark/>
          </w:tcPr>
          <w:p w14:paraId="770F4FA1" w14:textId="77777777" w:rsidR="0033535F" w:rsidRPr="0033535F" w:rsidRDefault="0033535F" w:rsidP="0033535F">
            <w:pPr>
              <w:rPr>
                <w:rFonts w:ascii="Arial" w:hAnsi="Arial" w:cs="Arial"/>
              </w:rPr>
            </w:pPr>
            <w:r w:rsidRPr="0033535F">
              <w:rPr>
                <w:rFonts w:ascii="Arial" w:hAnsi="Arial" w:cs="Arial"/>
              </w:rPr>
              <w:t xml:space="preserve">insulin </w:t>
            </w:r>
            <w:proofErr w:type="spellStart"/>
            <w:r w:rsidRPr="0033535F">
              <w:rPr>
                <w:rFonts w:ascii="Arial" w:hAnsi="Arial" w:cs="Arial"/>
              </w:rPr>
              <w:t>degludec</w:t>
            </w:r>
            <w:proofErr w:type="spellEnd"/>
          </w:p>
        </w:tc>
        <w:tc>
          <w:tcPr>
            <w:tcW w:w="2560" w:type="dxa"/>
            <w:hideMark/>
          </w:tcPr>
          <w:p w14:paraId="216EBD5D" w14:textId="77777777" w:rsidR="0033535F" w:rsidRPr="0033535F" w:rsidRDefault="0033535F" w:rsidP="0033535F">
            <w:pPr>
              <w:rPr>
                <w:rFonts w:ascii="Arial" w:hAnsi="Arial" w:cs="Arial"/>
              </w:rPr>
            </w:pPr>
            <w:r w:rsidRPr="0033535F">
              <w:rPr>
                <w:rFonts w:ascii="Arial" w:hAnsi="Arial" w:cs="Arial"/>
              </w:rPr>
              <w:t>1324709</w:t>
            </w:r>
          </w:p>
        </w:tc>
      </w:tr>
      <w:tr w:rsidR="0033535F" w:rsidRPr="0033535F" w14:paraId="35ACF585" w14:textId="77777777" w:rsidTr="0033535F">
        <w:trPr>
          <w:trHeight w:val="300"/>
        </w:trPr>
        <w:tc>
          <w:tcPr>
            <w:tcW w:w="4040" w:type="dxa"/>
            <w:hideMark/>
          </w:tcPr>
          <w:p w14:paraId="703D0C4C" w14:textId="77777777" w:rsidR="0033535F" w:rsidRPr="0033535F" w:rsidRDefault="0033535F" w:rsidP="0033535F">
            <w:pPr>
              <w:rPr>
                <w:rFonts w:ascii="Arial" w:hAnsi="Arial" w:cs="Arial"/>
              </w:rPr>
            </w:pPr>
            <w:r w:rsidRPr="0033535F">
              <w:rPr>
                <w:rFonts w:ascii="Arial" w:hAnsi="Arial" w:cs="Arial"/>
              </w:rPr>
              <w:t xml:space="preserve">insulin </w:t>
            </w:r>
            <w:proofErr w:type="spellStart"/>
            <w:r w:rsidRPr="0033535F">
              <w:rPr>
                <w:rFonts w:ascii="Arial" w:hAnsi="Arial" w:cs="Arial"/>
              </w:rPr>
              <w:t>detemir</w:t>
            </w:r>
            <w:proofErr w:type="spellEnd"/>
          </w:p>
        </w:tc>
        <w:tc>
          <w:tcPr>
            <w:tcW w:w="2560" w:type="dxa"/>
            <w:hideMark/>
          </w:tcPr>
          <w:p w14:paraId="710DB385" w14:textId="77777777" w:rsidR="0033535F" w:rsidRPr="0033535F" w:rsidRDefault="0033535F" w:rsidP="0033535F">
            <w:pPr>
              <w:rPr>
                <w:rFonts w:ascii="Arial" w:hAnsi="Arial" w:cs="Arial"/>
              </w:rPr>
            </w:pPr>
            <w:r w:rsidRPr="0033535F">
              <w:rPr>
                <w:rFonts w:ascii="Arial" w:hAnsi="Arial" w:cs="Arial"/>
              </w:rPr>
              <w:t>139825</w:t>
            </w:r>
          </w:p>
        </w:tc>
      </w:tr>
      <w:tr w:rsidR="0033535F" w:rsidRPr="0033535F" w14:paraId="09435918" w14:textId="77777777" w:rsidTr="0033535F">
        <w:trPr>
          <w:trHeight w:val="300"/>
        </w:trPr>
        <w:tc>
          <w:tcPr>
            <w:tcW w:w="4040" w:type="dxa"/>
            <w:hideMark/>
          </w:tcPr>
          <w:p w14:paraId="4753C110" w14:textId="77777777" w:rsidR="0033535F" w:rsidRPr="0033535F" w:rsidRDefault="0033535F" w:rsidP="0033535F">
            <w:pPr>
              <w:rPr>
                <w:rFonts w:ascii="Arial" w:hAnsi="Arial" w:cs="Arial"/>
              </w:rPr>
            </w:pPr>
            <w:r w:rsidRPr="0033535F">
              <w:rPr>
                <w:rFonts w:ascii="Arial" w:hAnsi="Arial" w:cs="Arial"/>
              </w:rPr>
              <w:t xml:space="preserve">insulin </w:t>
            </w:r>
            <w:proofErr w:type="spellStart"/>
            <w:r w:rsidRPr="0033535F">
              <w:rPr>
                <w:rFonts w:ascii="Arial" w:hAnsi="Arial" w:cs="Arial"/>
              </w:rPr>
              <w:t>isophane</w:t>
            </w:r>
            <w:proofErr w:type="spellEnd"/>
            <w:r w:rsidRPr="0033535F">
              <w:rPr>
                <w:rFonts w:ascii="Arial" w:hAnsi="Arial" w:cs="Arial"/>
              </w:rPr>
              <w:t xml:space="preserve"> </w:t>
            </w:r>
            <w:proofErr w:type="spellStart"/>
            <w:r w:rsidRPr="0033535F">
              <w:rPr>
                <w:rFonts w:ascii="Arial" w:hAnsi="Arial" w:cs="Arial"/>
              </w:rPr>
              <w:t>nph</w:t>
            </w:r>
            <w:proofErr w:type="spellEnd"/>
          </w:p>
        </w:tc>
        <w:tc>
          <w:tcPr>
            <w:tcW w:w="2560" w:type="dxa"/>
            <w:hideMark/>
          </w:tcPr>
          <w:p w14:paraId="7322632B" w14:textId="77777777" w:rsidR="0033535F" w:rsidRPr="0033535F" w:rsidRDefault="0033535F" w:rsidP="0033535F">
            <w:pPr>
              <w:rPr>
                <w:rFonts w:ascii="Arial" w:hAnsi="Arial" w:cs="Arial"/>
              </w:rPr>
            </w:pPr>
            <w:r w:rsidRPr="0033535F">
              <w:rPr>
                <w:rFonts w:ascii="Arial" w:hAnsi="Arial" w:cs="Arial"/>
              </w:rPr>
              <w:t>5865</w:t>
            </w:r>
          </w:p>
        </w:tc>
      </w:tr>
      <w:tr w:rsidR="0033535F" w:rsidRPr="0033535F" w14:paraId="31F8BF08" w14:textId="77777777" w:rsidTr="0033535F">
        <w:trPr>
          <w:trHeight w:val="300"/>
        </w:trPr>
        <w:tc>
          <w:tcPr>
            <w:tcW w:w="4040" w:type="dxa"/>
            <w:hideMark/>
          </w:tcPr>
          <w:p w14:paraId="77BD938E" w14:textId="77777777" w:rsidR="0033535F" w:rsidRPr="0033535F" w:rsidRDefault="0033535F" w:rsidP="0033535F">
            <w:pPr>
              <w:rPr>
                <w:rFonts w:ascii="Arial" w:hAnsi="Arial" w:cs="Arial"/>
              </w:rPr>
            </w:pPr>
            <w:r w:rsidRPr="0033535F">
              <w:rPr>
                <w:rFonts w:ascii="Arial" w:hAnsi="Arial" w:cs="Arial"/>
              </w:rPr>
              <w:t>insulin human</w:t>
            </w:r>
          </w:p>
        </w:tc>
        <w:tc>
          <w:tcPr>
            <w:tcW w:w="2560" w:type="dxa"/>
            <w:hideMark/>
          </w:tcPr>
          <w:p w14:paraId="3ED2A460" w14:textId="77777777" w:rsidR="0033535F" w:rsidRPr="0033535F" w:rsidRDefault="0033535F" w:rsidP="0033535F">
            <w:pPr>
              <w:rPr>
                <w:rFonts w:ascii="Arial" w:hAnsi="Arial" w:cs="Arial"/>
              </w:rPr>
            </w:pPr>
            <w:r w:rsidRPr="0033535F">
              <w:rPr>
                <w:rFonts w:ascii="Arial" w:hAnsi="Arial" w:cs="Arial"/>
              </w:rPr>
              <w:t>253182</w:t>
            </w:r>
          </w:p>
        </w:tc>
      </w:tr>
      <w:tr w:rsidR="0033535F" w:rsidRPr="0033535F" w14:paraId="43935752" w14:textId="77777777" w:rsidTr="0033535F">
        <w:trPr>
          <w:trHeight w:val="300"/>
        </w:trPr>
        <w:tc>
          <w:tcPr>
            <w:tcW w:w="4040" w:type="dxa"/>
            <w:hideMark/>
          </w:tcPr>
          <w:p w14:paraId="2EC56CAD" w14:textId="77777777" w:rsidR="0033535F" w:rsidRPr="0033535F" w:rsidRDefault="0033535F" w:rsidP="0033535F">
            <w:pPr>
              <w:rPr>
                <w:rFonts w:ascii="Arial" w:hAnsi="Arial" w:cs="Arial"/>
              </w:rPr>
            </w:pPr>
            <w:proofErr w:type="spellStart"/>
            <w:r w:rsidRPr="0033535F">
              <w:rPr>
                <w:rFonts w:ascii="Arial" w:hAnsi="Arial" w:cs="Arial"/>
              </w:rPr>
              <w:t>novolin</w:t>
            </w:r>
            <w:proofErr w:type="spellEnd"/>
          </w:p>
        </w:tc>
        <w:tc>
          <w:tcPr>
            <w:tcW w:w="2560" w:type="dxa"/>
            <w:hideMark/>
          </w:tcPr>
          <w:p w14:paraId="66E6E95C" w14:textId="77777777" w:rsidR="0033535F" w:rsidRPr="0033535F" w:rsidRDefault="0033535F" w:rsidP="0033535F">
            <w:pPr>
              <w:rPr>
                <w:rFonts w:ascii="Arial" w:hAnsi="Arial" w:cs="Arial"/>
              </w:rPr>
            </w:pPr>
            <w:r w:rsidRPr="0033535F">
              <w:rPr>
                <w:rFonts w:ascii="Arial" w:hAnsi="Arial" w:cs="Arial"/>
              </w:rPr>
              <w:t>1372723</w:t>
            </w:r>
          </w:p>
        </w:tc>
      </w:tr>
      <w:tr w:rsidR="0033535F" w:rsidRPr="0033535F" w14:paraId="02A5F5AB" w14:textId="77777777" w:rsidTr="0033535F">
        <w:trPr>
          <w:trHeight w:val="300"/>
        </w:trPr>
        <w:tc>
          <w:tcPr>
            <w:tcW w:w="4040" w:type="dxa"/>
            <w:hideMark/>
          </w:tcPr>
          <w:p w14:paraId="0689CA05" w14:textId="77777777" w:rsidR="0033535F" w:rsidRPr="0033535F" w:rsidRDefault="0033535F" w:rsidP="0033535F">
            <w:pPr>
              <w:rPr>
                <w:rFonts w:ascii="Arial" w:hAnsi="Arial" w:cs="Arial"/>
              </w:rPr>
            </w:pPr>
            <w:r w:rsidRPr="0033535F">
              <w:rPr>
                <w:rFonts w:ascii="Arial" w:hAnsi="Arial" w:cs="Arial"/>
              </w:rPr>
              <w:t xml:space="preserve">insulin </w:t>
            </w:r>
            <w:proofErr w:type="spellStart"/>
            <w:r w:rsidRPr="0033535F">
              <w:rPr>
                <w:rFonts w:ascii="Arial" w:hAnsi="Arial" w:cs="Arial"/>
              </w:rPr>
              <w:t>degludec</w:t>
            </w:r>
            <w:proofErr w:type="spellEnd"/>
          </w:p>
        </w:tc>
        <w:tc>
          <w:tcPr>
            <w:tcW w:w="2560" w:type="dxa"/>
            <w:hideMark/>
          </w:tcPr>
          <w:p w14:paraId="6F17E480" w14:textId="77777777" w:rsidR="0033535F" w:rsidRPr="0033535F" w:rsidRDefault="0033535F" w:rsidP="0033535F">
            <w:pPr>
              <w:rPr>
                <w:rFonts w:ascii="Arial" w:hAnsi="Arial" w:cs="Arial"/>
              </w:rPr>
            </w:pPr>
            <w:r w:rsidRPr="0033535F">
              <w:rPr>
                <w:rFonts w:ascii="Arial" w:hAnsi="Arial" w:cs="Arial"/>
              </w:rPr>
              <w:t>1670007</w:t>
            </w:r>
          </w:p>
        </w:tc>
      </w:tr>
    </w:tbl>
    <w:p w14:paraId="1833B954" w14:textId="77777777" w:rsidR="0033535F" w:rsidRDefault="0033535F" w:rsidP="009C5B8C">
      <w:pPr>
        <w:spacing w:after="0" w:line="240" w:lineRule="auto"/>
        <w:rPr>
          <w:rFonts w:ascii="Arial" w:hAnsi="Arial" w:cs="Arial"/>
        </w:rPr>
      </w:pPr>
    </w:p>
    <w:p w14:paraId="6E1E68C6" w14:textId="77777777" w:rsidR="0033535F" w:rsidRDefault="0033535F" w:rsidP="009C5B8C">
      <w:pPr>
        <w:spacing w:after="0" w:line="240" w:lineRule="auto"/>
        <w:rPr>
          <w:rFonts w:ascii="Arial" w:hAnsi="Arial" w:cs="Arial"/>
        </w:rPr>
      </w:pPr>
    </w:p>
    <w:p w14:paraId="3F0B9F06" w14:textId="4349DB7E" w:rsidR="003C0CAE" w:rsidRDefault="0033535F" w:rsidP="009C5B8C">
      <w:pPr>
        <w:spacing w:after="0" w:line="240" w:lineRule="auto"/>
        <w:rPr>
          <w:rFonts w:ascii="Arial" w:hAnsi="Arial" w:cs="Arial"/>
        </w:rPr>
      </w:pPr>
      <w:r>
        <w:rPr>
          <w:rFonts w:ascii="Arial" w:hAnsi="Arial" w:cs="Arial"/>
        </w:rPr>
        <w:t>Table 2.  T2D medications</w:t>
      </w:r>
    </w:p>
    <w:tbl>
      <w:tblPr>
        <w:tblStyle w:val="TableGrid"/>
        <w:tblW w:w="0" w:type="auto"/>
        <w:tblLook w:val="04A0" w:firstRow="1" w:lastRow="0" w:firstColumn="1" w:lastColumn="0" w:noHBand="0" w:noVBand="1"/>
      </w:tblPr>
      <w:tblGrid>
        <w:gridCol w:w="1733"/>
        <w:gridCol w:w="3380"/>
      </w:tblGrid>
      <w:tr w:rsidR="0033535F" w:rsidRPr="0033535F" w14:paraId="171F73FE" w14:textId="77777777" w:rsidTr="0033535F">
        <w:trPr>
          <w:trHeight w:val="300"/>
        </w:trPr>
        <w:tc>
          <w:tcPr>
            <w:tcW w:w="1620" w:type="dxa"/>
            <w:hideMark/>
          </w:tcPr>
          <w:p w14:paraId="5C3CE2D4" w14:textId="77777777" w:rsidR="0033535F" w:rsidRPr="0033535F" w:rsidRDefault="0033535F" w:rsidP="0033535F">
            <w:pPr>
              <w:rPr>
                <w:rFonts w:ascii="Arial" w:hAnsi="Arial" w:cs="Arial"/>
                <w:b/>
                <w:bCs/>
              </w:rPr>
            </w:pPr>
            <w:r w:rsidRPr="0033535F">
              <w:rPr>
                <w:rFonts w:ascii="Arial" w:hAnsi="Arial" w:cs="Arial"/>
                <w:b/>
                <w:bCs/>
              </w:rPr>
              <w:t>Generic name</w:t>
            </w:r>
          </w:p>
        </w:tc>
        <w:tc>
          <w:tcPr>
            <w:tcW w:w="3380" w:type="dxa"/>
            <w:hideMark/>
          </w:tcPr>
          <w:p w14:paraId="26D6BD0D" w14:textId="77777777" w:rsidR="0033535F" w:rsidRPr="0033535F" w:rsidRDefault="0033535F" w:rsidP="0033535F">
            <w:pPr>
              <w:rPr>
                <w:rFonts w:ascii="Arial" w:hAnsi="Arial" w:cs="Arial"/>
                <w:b/>
                <w:bCs/>
              </w:rPr>
            </w:pPr>
            <w:r w:rsidRPr="0033535F">
              <w:rPr>
                <w:rFonts w:ascii="Arial" w:hAnsi="Arial" w:cs="Arial"/>
                <w:b/>
                <w:bCs/>
              </w:rPr>
              <w:t xml:space="preserve">RXNORM </w:t>
            </w:r>
            <w:proofErr w:type="spellStart"/>
            <w:r w:rsidRPr="0033535F">
              <w:rPr>
                <w:rFonts w:ascii="Arial" w:hAnsi="Arial" w:cs="Arial"/>
                <w:b/>
                <w:bCs/>
              </w:rPr>
              <w:t>RxCUI</w:t>
            </w:r>
            <w:proofErr w:type="spellEnd"/>
            <w:r w:rsidRPr="0033535F">
              <w:rPr>
                <w:rFonts w:ascii="Arial" w:hAnsi="Arial" w:cs="Arial"/>
                <w:b/>
                <w:bCs/>
              </w:rPr>
              <w:t xml:space="preserve"> for generic name</w:t>
            </w:r>
          </w:p>
        </w:tc>
      </w:tr>
      <w:tr w:rsidR="0033535F" w:rsidRPr="0033535F" w14:paraId="3E107328" w14:textId="77777777" w:rsidTr="0033535F">
        <w:trPr>
          <w:trHeight w:val="300"/>
        </w:trPr>
        <w:tc>
          <w:tcPr>
            <w:tcW w:w="1620" w:type="dxa"/>
            <w:noWrap/>
            <w:hideMark/>
          </w:tcPr>
          <w:p w14:paraId="2CB189B4" w14:textId="77777777" w:rsidR="0033535F" w:rsidRPr="0033535F" w:rsidRDefault="0033535F" w:rsidP="0033535F">
            <w:pPr>
              <w:rPr>
                <w:rFonts w:ascii="Arial" w:hAnsi="Arial" w:cs="Arial"/>
              </w:rPr>
            </w:pPr>
            <w:proofErr w:type="spellStart"/>
            <w:r w:rsidRPr="0033535F">
              <w:rPr>
                <w:rFonts w:ascii="Arial" w:hAnsi="Arial" w:cs="Arial"/>
              </w:rPr>
              <w:t>Acarbose</w:t>
            </w:r>
            <w:proofErr w:type="spellEnd"/>
          </w:p>
        </w:tc>
        <w:tc>
          <w:tcPr>
            <w:tcW w:w="3380" w:type="dxa"/>
            <w:noWrap/>
            <w:hideMark/>
          </w:tcPr>
          <w:p w14:paraId="31FC7B3C" w14:textId="77777777" w:rsidR="0033535F" w:rsidRPr="0033535F" w:rsidRDefault="0033535F" w:rsidP="0033535F">
            <w:pPr>
              <w:rPr>
                <w:rFonts w:ascii="Arial" w:hAnsi="Arial" w:cs="Arial"/>
              </w:rPr>
            </w:pPr>
            <w:r w:rsidRPr="0033535F">
              <w:rPr>
                <w:rFonts w:ascii="Arial" w:hAnsi="Arial" w:cs="Arial"/>
              </w:rPr>
              <w:t>16681</w:t>
            </w:r>
          </w:p>
        </w:tc>
      </w:tr>
      <w:tr w:rsidR="0033535F" w:rsidRPr="0033535F" w14:paraId="3886C011" w14:textId="77777777" w:rsidTr="0033535F">
        <w:trPr>
          <w:trHeight w:val="300"/>
        </w:trPr>
        <w:tc>
          <w:tcPr>
            <w:tcW w:w="1620" w:type="dxa"/>
            <w:noWrap/>
            <w:hideMark/>
          </w:tcPr>
          <w:p w14:paraId="181E8E84" w14:textId="77777777" w:rsidR="0033535F" w:rsidRPr="0033535F" w:rsidRDefault="0033535F" w:rsidP="0033535F">
            <w:pPr>
              <w:rPr>
                <w:rFonts w:ascii="Arial" w:hAnsi="Arial" w:cs="Arial"/>
              </w:rPr>
            </w:pPr>
            <w:proofErr w:type="spellStart"/>
            <w:r w:rsidRPr="0033535F">
              <w:rPr>
                <w:rFonts w:ascii="Arial" w:hAnsi="Arial" w:cs="Arial"/>
              </w:rPr>
              <w:t>acetohexamide</w:t>
            </w:r>
            <w:proofErr w:type="spellEnd"/>
          </w:p>
        </w:tc>
        <w:tc>
          <w:tcPr>
            <w:tcW w:w="3380" w:type="dxa"/>
            <w:noWrap/>
            <w:hideMark/>
          </w:tcPr>
          <w:p w14:paraId="674E0E48" w14:textId="77777777" w:rsidR="0033535F" w:rsidRPr="0033535F" w:rsidRDefault="0033535F" w:rsidP="0033535F">
            <w:pPr>
              <w:rPr>
                <w:rFonts w:ascii="Arial" w:hAnsi="Arial" w:cs="Arial"/>
              </w:rPr>
            </w:pPr>
            <w:r w:rsidRPr="0033535F">
              <w:rPr>
                <w:rFonts w:ascii="Arial" w:hAnsi="Arial" w:cs="Arial"/>
              </w:rPr>
              <w:t>173</w:t>
            </w:r>
          </w:p>
        </w:tc>
      </w:tr>
      <w:tr w:rsidR="0033535F" w:rsidRPr="0033535F" w14:paraId="7E707600" w14:textId="77777777" w:rsidTr="0033535F">
        <w:trPr>
          <w:trHeight w:val="300"/>
        </w:trPr>
        <w:tc>
          <w:tcPr>
            <w:tcW w:w="1620" w:type="dxa"/>
            <w:noWrap/>
            <w:hideMark/>
          </w:tcPr>
          <w:p w14:paraId="248312D6" w14:textId="77777777" w:rsidR="0033535F" w:rsidRPr="0033535F" w:rsidRDefault="0033535F" w:rsidP="0033535F">
            <w:pPr>
              <w:rPr>
                <w:rFonts w:ascii="Arial" w:hAnsi="Arial" w:cs="Arial"/>
              </w:rPr>
            </w:pPr>
            <w:proofErr w:type="spellStart"/>
            <w:r w:rsidRPr="0033535F">
              <w:rPr>
                <w:rFonts w:ascii="Arial" w:hAnsi="Arial" w:cs="Arial"/>
              </w:rPr>
              <w:lastRenderedPageBreak/>
              <w:t>albiglutide</w:t>
            </w:r>
            <w:proofErr w:type="spellEnd"/>
          </w:p>
        </w:tc>
        <w:tc>
          <w:tcPr>
            <w:tcW w:w="3380" w:type="dxa"/>
            <w:noWrap/>
            <w:hideMark/>
          </w:tcPr>
          <w:p w14:paraId="53765A3B" w14:textId="77777777" w:rsidR="0033535F" w:rsidRPr="0033535F" w:rsidRDefault="0033535F" w:rsidP="0033535F">
            <w:pPr>
              <w:rPr>
                <w:rFonts w:ascii="Arial" w:hAnsi="Arial" w:cs="Arial"/>
              </w:rPr>
            </w:pPr>
            <w:r w:rsidRPr="0033535F">
              <w:rPr>
                <w:rFonts w:ascii="Arial" w:hAnsi="Arial" w:cs="Arial"/>
              </w:rPr>
              <w:t>1534763</w:t>
            </w:r>
          </w:p>
        </w:tc>
      </w:tr>
      <w:tr w:rsidR="0033535F" w:rsidRPr="0033535F" w14:paraId="6F262EA8" w14:textId="77777777" w:rsidTr="0033535F">
        <w:trPr>
          <w:trHeight w:val="300"/>
        </w:trPr>
        <w:tc>
          <w:tcPr>
            <w:tcW w:w="1620" w:type="dxa"/>
            <w:noWrap/>
            <w:hideMark/>
          </w:tcPr>
          <w:p w14:paraId="3B6BE5C5" w14:textId="77777777" w:rsidR="0033535F" w:rsidRPr="0033535F" w:rsidRDefault="0033535F" w:rsidP="0033535F">
            <w:pPr>
              <w:rPr>
                <w:rFonts w:ascii="Arial" w:hAnsi="Arial" w:cs="Arial"/>
              </w:rPr>
            </w:pPr>
            <w:proofErr w:type="spellStart"/>
            <w:r w:rsidRPr="0033535F">
              <w:rPr>
                <w:rFonts w:ascii="Arial" w:hAnsi="Arial" w:cs="Arial"/>
              </w:rPr>
              <w:t>alogliptin</w:t>
            </w:r>
            <w:proofErr w:type="spellEnd"/>
          </w:p>
        </w:tc>
        <w:tc>
          <w:tcPr>
            <w:tcW w:w="3380" w:type="dxa"/>
            <w:noWrap/>
            <w:hideMark/>
          </w:tcPr>
          <w:p w14:paraId="355A9580" w14:textId="77777777" w:rsidR="0033535F" w:rsidRPr="0033535F" w:rsidRDefault="0033535F" w:rsidP="0033535F">
            <w:pPr>
              <w:rPr>
                <w:rFonts w:ascii="Arial" w:hAnsi="Arial" w:cs="Arial"/>
              </w:rPr>
            </w:pPr>
            <w:r w:rsidRPr="0033535F">
              <w:rPr>
                <w:rFonts w:ascii="Arial" w:hAnsi="Arial" w:cs="Arial"/>
              </w:rPr>
              <w:t>1368001</w:t>
            </w:r>
          </w:p>
        </w:tc>
      </w:tr>
      <w:tr w:rsidR="0033535F" w:rsidRPr="0033535F" w14:paraId="631A2091" w14:textId="77777777" w:rsidTr="0033535F">
        <w:trPr>
          <w:trHeight w:val="300"/>
        </w:trPr>
        <w:tc>
          <w:tcPr>
            <w:tcW w:w="1620" w:type="dxa"/>
            <w:noWrap/>
            <w:hideMark/>
          </w:tcPr>
          <w:p w14:paraId="26D8D719" w14:textId="77777777" w:rsidR="0033535F" w:rsidRPr="0033535F" w:rsidRDefault="0033535F" w:rsidP="0033535F">
            <w:pPr>
              <w:rPr>
                <w:rFonts w:ascii="Arial" w:hAnsi="Arial" w:cs="Arial"/>
              </w:rPr>
            </w:pPr>
            <w:proofErr w:type="spellStart"/>
            <w:r w:rsidRPr="0033535F">
              <w:rPr>
                <w:rFonts w:ascii="Arial" w:hAnsi="Arial" w:cs="Arial"/>
              </w:rPr>
              <w:t>canagliflozin</w:t>
            </w:r>
            <w:proofErr w:type="spellEnd"/>
          </w:p>
        </w:tc>
        <w:tc>
          <w:tcPr>
            <w:tcW w:w="3380" w:type="dxa"/>
            <w:noWrap/>
            <w:hideMark/>
          </w:tcPr>
          <w:p w14:paraId="67C09B7E" w14:textId="77777777" w:rsidR="0033535F" w:rsidRPr="0033535F" w:rsidRDefault="0033535F" w:rsidP="0033535F">
            <w:pPr>
              <w:rPr>
                <w:rFonts w:ascii="Arial" w:hAnsi="Arial" w:cs="Arial"/>
              </w:rPr>
            </w:pPr>
            <w:r w:rsidRPr="0033535F">
              <w:rPr>
                <w:rFonts w:ascii="Arial" w:hAnsi="Arial" w:cs="Arial"/>
              </w:rPr>
              <w:t>1373458</w:t>
            </w:r>
          </w:p>
        </w:tc>
      </w:tr>
      <w:tr w:rsidR="0033535F" w:rsidRPr="0033535F" w14:paraId="7FB8E439" w14:textId="77777777" w:rsidTr="0033535F">
        <w:trPr>
          <w:trHeight w:val="300"/>
        </w:trPr>
        <w:tc>
          <w:tcPr>
            <w:tcW w:w="1620" w:type="dxa"/>
            <w:noWrap/>
            <w:hideMark/>
          </w:tcPr>
          <w:p w14:paraId="7C6034D0" w14:textId="77777777" w:rsidR="0033535F" w:rsidRPr="0033535F" w:rsidRDefault="0033535F" w:rsidP="0033535F">
            <w:pPr>
              <w:rPr>
                <w:rFonts w:ascii="Arial" w:hAnsi="Arial" w:cs="Arial"/>
              </w:rPr>
            </w:pPr>
            <w:proofErr w:type="spellStart"/>
            <w:r w:rsidRPr="0033535F">
              <w:rPr>
                <w:rFonts w:ascii="Arial" w:hAnsi="Arial" w:cs="Arial"/>
              </w:rPr>
              <w:t>chlorpropamide</w:t>
            </w:r>
            <w:proofErr w:type="spellEnd"/>
          </w:p>
        </w:tc>
        <w:tc>
          <w:tcPr>
            <w:tcW w:w="3380" w:type="dxa"/>
            <w:noWrap/>
            <w:hideMark/>
          </w:tcPr>
          <w:p w14:paraId="11D6FD1C" w14:textId="77777777" w:rsidR="0033535F" w:rsidRPr="0033535F" w:rsidRDefault="0033535F" w:rsidP="0033535F">
            <w:pPr>
              <w:rPr>
                <w:rFonts w:ascii="Arial" w:hAnsi="Arial" w:cs="Arial"/>
              </w:rPr>
            </w:pPr>
            <w:r w:rsidRPr="0033535F">
              <w:rPr>
                <w:rFonts w:ascii="Arial" w:hAnsi="Arial" w:cs="Arial"/>
              </w:rPr>
              <w:t>2404</w:t>
            </w:r>
          </w:p>
        </w:tc>
      </w:tr>
      <w:tr w:rsidR="0033535F" w:rsidRPr="0033535F" w14:paraId="06ECEF0F" w14:textId="77777777" w:rsidTr="0033535F">
        <w:trPr>
          <w:trHeight w:val="300"/>
        </w:trPr>
        <w:tc>
          <w:tcPr>
            <w:tcW w:w="1620" w:type="dxa"/>
            <w:noWrap/>
            <w:hideMark/>
          </w:tcPr>
          <w:p w14:paraId="731862BA" w14:textId="77777777" w:rsidR="0033535F" w:rsidRPr="0033535F" w:rsidRDefault="0033535F" w:rsidP="0033535F">
            <w:pPr>
              <w:rPr>
                <w:rFonts w:ascii="Arial" w:hAnsi="Arial" w:cs="Arial"/>
              </w:rPr>
            </w:pPr>
            <w:proofErr w:type="spellStart"/>
            <w:r w:rsidRPr="0033535F">
              <w:rPr>
                <w:rFonts w:ascii="Arial" w:hAnsi="Arial" w:cs="Arial"/>
              </w:rPr>
              <w:t>dapagliflozin</w:t>
            </w:r>
            <w:proofErr w:type="spellEnd"/>
          </w:p>
        </w:tc>
        <w:tc>
          <w:tcPr>
            <w:tcW w:w="3380" w:type="dxa"/>
            <w:noWrap/>
            <w:hideMark/>
          </w:tcPr>
          <w:p w14:paraId="09907BE0" w14:textId="77777777" w:rsidR="0033535F" w:rsidRPr="0033535F" w:rsidRDefault="0033535F" w:rsidP="0033535F">
            <w:pPr>
              <w:rPr>
                <w:rFonts w:ascii="Arial" w:hAnsi="Arial" w:cs="Arial"/>
              </w:rPr>
            </w:pPr>
            <w:r w:rsidRPr="0033535F">
              <w:rPr>
                <w:rFonts w:ascii="Arial" w:hAnsi="Arial" w:cs="Arial"/>
              </w:rPr>
              <w:t>1375326</w:t>
            </w:r>
          </w:p>
        </w:tc>
      </w:tr>
      <w:tr w:rsidR="0033535F" w:rsidRPr="0033535F" w14:paraId="78EA41E1" w14:textId="77777777" w:rsidTr="0033535F">
        <w:trPr>
          <w:trHeight w:val="300"/>
        </w:trPr>
        <w:tc>
          <w:tcPr>
            <w:tcW w:w="1620" w:type="dxa"/>
            <w:noWrap/>
            <w:hideMark/>
          </w:tcPr>
          <w:p w14:paraId="4A9BCC25" w14:textId="77777777" w:rsidR="0033535F" w:rsidRPr="0033535F" w:rsidRDefault="0033535F" w:rsidP="0033535F">
            <w:pPr>
              <w:rPr>
                <w:rFonts w:ascii="Arial" w:hAnsi="Arial" w:cs="Arial"/>
              </w:rPr>
            </w:pPr>
            <w:proofErr w:type="spellStart"/>
            <w:r w:rsidRPr="0033535F">
              <w:rPr>
                <w:rFonts w:ascii="Arial" w:hAnsi="Arial" w:cs="Arial"/>
              </w:rPr>
              <w:t>dapagliflozin</w:t>
            </w:r>
            <w:proofErr w:type="spellEnd"/>
          </w:p>
        </w:tc>
        <w:tc>
          <w:tcPr>
            <w:tcW w:w="3380" w:type="dxa"/>
            <w:noWrap/>
            <w:hideMark/>
          </w:tcPr>
          <w:p w14:paraId="55F37C09" w14:textId="77777777" w:rsidR="0033535F" w:rsidRPr="0033535F" w:rsidRDefault="0033535F" w:rsidP="0033535F">
            <w:pPr>
              <w:rPr>
                <w:rFonts w:ascii="Arial" w:hAnsi="Arial" w:cs="Arial"/>
              </w:rPr>
            </w:pPr>
            <w:r w:rsidRPr="0033535F">
              <w:rPr>
                <w:rFonts w:ascii="Arial" w:hAnsi="Arial" w:cs="Arial"/>
              </w:rPr>
              <w:t>1488564</w:t>
            </w:r>
          </w:p>
        </w:tc>
      </w:tr>
      <w:tr w:rsidR="0033535F" w:rsidRPr="0033535F" w14:paraId="022CCE86" w14:textId="77777777" w:rsidTr="0033535F">
        <w:trPr>
          <w:trHeight w:val="300"/>
        </w:trPr>
        <w:tc>
          <w:tcPr>
            <w:tcW w:w="1620" w:type="dxa"/>
            <w:noWrap/>
            <w:hideMark/>
          </w:tcPr>
          <w:p w14:paraId="4DEE420F" w14:textId="77777777" w:rsidR="0033535F" w:rsidRPr="0033535F" w:rsidRDefault="0033535F" w:rsidP="0033535F">
            <w:pPr>
              <w:rPr>
                <w:rFonts w:ascii="Arial" w:hAnsi="Arial" w:cs="Arial"/>
              </w:rPr>
            </w:pPr>
            <w:proofErr w:type="spellStart"/>
            <w:r w:rsidRPr="0033535F">
              <w:rPr>
                <w:rFonts w:ascii="Arial" w:hAnsi="Arial" w:cs="Arial"/>
              </w:rPr>
              <w:t>dulaglutide</w:t>
            </w:r>
            <w:proofErr w:type="spellEnd"/>
          </w:p>
        </w:tc>
        <w:tc>
          <w:tcPr>
            <w:tcW w:w="3380" w:type="dxa"/>
            <w:noWrap/>
            <w:hideMark/>
          </w:tcPr>
          <w:p w14:paraId="486913E3" w14:textId="77777777" w:rsidR="0033535F" w:rsidRPr="0033535F" w:rsidRDefault="0033535F" w:rsidP="0033535F">
            <w:pPr>
              <w:rPr>
                <w:rFonts w:ascii="Arial" w:hAnsi="Arial" w:cs="Arial"/>
              </w:rPr>
            </w:pPr>
            <w:r w:rsidRPr="0033535F">
              <w:rPr>
                <w:rFonts w:ascii="Arial" w:hAnsi="Arial" w:cs="Arial"/>
              </w:rPr>
              <w:t>1551291</w:t>
            </w:r>
          </w:p>
        </w:tc>
      </w:tr>
      <w:tr w:rsidR="0033535F" w:rsidRPr="0033535F" w14:paraId="3826A60F" w14:textId="77777777" w:rsidTr="0033535F">
        <w:trPr>
          <w:trHeight w:val="300"/>
        </w:trPr>
        <w:tc>
          <w:tcPr>
            <w:tcW w:w="1620" w:type="dxa"/>
            <w:noWrap/>
            <w:hideMark/>
          </w:tcPr>
          <w:p w14:paraId="0BFBA31B" w14:textId="77777777" w:rsidR="0033535F" w:rsidRPr="0033535F" w:rsidRDefault="0033535F" w:rsidP="0033535F">
            <w:pPr>
              <w:rPr>
                <w:rFonts w:ascii="Arial" w:hAnsi="Arial" w:cs="Arial"/>
              </w:rPr>
            </w:pPr>
            <w:proofErr w:type="spellStart"/>
            <w:r w:rsidRPr="0033535F">
              <w:rPr>
                <w:rFonts w:ascii="Arial" w:hAnsi="Arial" w:cs="Arial"/>
              </w:rPr>
              <w:t>empagliflozin</w:t>
            </w:r>
            <w:proofErr w:type="spellEnd"/>
          </w:p>
        </w:tc>
        <w:tc>
          <w:tcPr>
            <w:tcW w:w="3380" w:type="dxa"/>
            <w:noWrap/>
            <w:hideMark/>
          </w:tcPr>
          <w:p w14:paraId="4FACEDAB" w14:textId="77777777" w:rsidR="0033535F" w:rsidRPr="0033535F" w:rsidRDefault="0033535F" w:rsidP="0033535F">
            <w:pPr>
              <w:rPr>
                <w:rFonts w:ascii="Arial" w:hAnsi="Arial" w:cs="Arial"/>
              </w:rPr>
            </w:pPr>
            <w:r w:rsidRPr="0033535F">
              <w:rPr>
                <w:rFonts w:ascii="Arial" w:hAnsi="Arial" w:cs="Arial"/>
              </w:rPr>
              <w:t>1545653</w:t>
            </w:r>
          </w:p>
        </w:tc>
      </w:tr>
      <w:tr w:rsidR="0033535F" w:rsidRPr="0033535F" w14:paraId="09C03C61" w14:textId="77777777" w:rsidTr="0033535F">
        <w:trPr>
          <w:trHeight w:val="300"/>
        </w:trPr>
        <w:tc>
          <w:tcPr>
            <w:tcW w:w="1620" w:type="dxa"/>
            <w:noWrap/>
            <w:hideMark/>
          </w:tcPr>
          <w:p w14:paraId="3DBD5C0D" w14:textId="77777777" w:rsidR="0033535F" w:rsidRPr="0033535F" w:rsidRDefault="0033535F" w:rsidP="0033535F">
            <w:pPr>
              <w:rPr>
                <w:rFonts w:ascii="Arial" w:hAnsi="Arial" w:cs="Arial"/>
              </w:rPr>
            </w:pPr>
            <w:proofErr w:type="spellStart"/>
            <w:r w:rsidRPr="0033535F">
              <w:rPr>
                <w:rFonts w:ascii="Arial" w:hAnsi="Arial" w:cs="Arial"/>
              </w:rPr>
              <w:t>ertugliflozin</w:t>
            </w:r>
            <w:proofErr w:type="spellEnd"/>
          </w:p>
        </w:tc>
        <w:tc>
          <w:tcPr>
            <w:tcW w:w="3380" w:type="dxa"/>
            <w:noWrap/>
            <w:hideMark/>
          </w:tcPr>
          <w:p w14:paraId="248126F5" w14:textId="77777777" w:rsidR="0033535F" w:rsidRPr="0033535F" w:rsidRDefault="0033535F" w:rsidP="0033535F">
            <w:pPr>
              <w:rPr>
                <w:rFonts w:ascii="Arial" w:hAnsi="Arial" w:cs="Arial"/>
              </w:rPr>
            </w:pPr>
            <w:r w:rsidRPr="0033535F">
              <w:rPr>
                <w:rFonts w:ascii="Arial" w:hAnsi="Arial" w:cs="Arial"/>
              </w:rPr>
              <w:t>1992672</w:t>
            </w:r>
          </w:p>
        </w:tc>
      </w:tr>
      <w:tr w:rsidR="0033535F" w:rsidRPr="0033535F" w14:paraId="2FEFB88C" w14:textId="77777777" w:rsidTr="0033535F">
        <w:trPr>
          <w:trHeight w:val="300"/>
        </w:trPr>
        <w:tc>
          <w:tcPr>
            <w:tcW w:w="1620" w:type="dxa"/>
            <w:noWrap/>
            <w:hideMark/>
          </w:tcPr>
          <w:p w14:paraId="2ED911A2" w14:textId="77777777" w:rsidR="0033535F" w:rsidRPr="0033535F" w:rsidRDefault="0033535F" w:rsidP="0033535F">
            <w:pPr>
              <w:rPr>
                <w:rFonts w:ascii="Arial" w:hAnsi="Arial" w:cs="Arial"/>
              </w:rPr>
            </w:pPr>
            <w:proofErr w:type="spellStart"/>
            <w:r w:rsidRPr="0033535F">
              <w:rPr>
                <w:rFonts w:ascii="Arial" w:hAnsi="Arial" w:cs="Arial"/>
              </w:rPr>
              <w:t>exenatide</w:t>
            </w:r>
            <w:proofErr w:type="spellEnd"/>
          </w:p>
        </w:tc>
        <w:tc>
          <w:tcPr>
            <w:tcW w:w="3380" w:type="dxa"/>
            <w:noWrap/>
            <w:hideMark/>
          </w:tcPr>
          <w:p w14:paraId="588636C3" w14:textId="77777777" w:rsidR="0033535F" w:rsidRPr="0033535F" w:rsidRDefault="0033535F" w:rsidP="0033535F">
            <w:pPr>
              <w:rPr>
                <w:rFonts w:ascii="Arial" w:hAnsi="Arial" w:cs="Arial"/>
              </w:rPr>
            </w:pPr>
            <w:r w:rsidRPr="0033535F">
              <w:rPr>
                <w:rFonts w:ascii="Arial" w:hAnsi="Arial" w:cs="Arial"/>
              </w:rPr>
              <w:t>60548</w:t>
            </w:r>
          </w:p>
        </w:tc>
      </w:tr>
      <w:tr w:rsidR="0033535F" w:rsidRPr="0033535F" w14:paraId="299A844A" w14:textId="77777777" w:rsidTr="0033535F">
        <w:trPr>
          <w:trHeight w:val="300"/>
        </w:trPr>
        <w:tc>
          <w:tcPr>
            <w:tcW w:w="1620" w:type="dxa"/>
            <w:noWrap/>
            <w:hideMark/>
          </w:tcPr>
          <w:p w14:paraId="1A87A74E" w14:textId="77777777" w:rsidR="0033535F" w:rsidRPr="0033535F" w:rsidRDefault="0033535F" w:rsidP="0033535F">
            <w:pPr>
              <w:rPr>
                <w:rFonts w:ascii="Arial" w:hAnsi="Arial" w:cs="Arial"/>
              </w:rPr>
            </w:pPr>
            <w:proofErr w:type="spellStart"/>
            <w:r w:rsidRPr="0033535F">
              <w:rPr>
                <w:rFonts w:ascii="Arial" w:hAnsi="Arial" w:cs="Arial"/>
              </w:rPr>
              <w:t>glibenclamide</w:t>
            </w:r>
            <w:proofErr w:type="spellEnd"/>
          </w:p>
        </w:tc>
        <w:tc>
          <w:tcPr>
            <w:tcW w:w="3380" w:type="dxa"/>
            <w:noWrap/>
            <w:hideMark/>
          </w:tcPr>
          <w:p w14:paraId="612A2A02" w14:textId="77777777" w:rsidR="0033535F" w:rsidRPr="0033535F" w:rsidRDefault="0033535F" w:rsidP="0033535F">
            <w:pPr>
              <w:rPr>
                <w:rFonts w:ascii="Arial" w:hAnsi="Arial" w:cs="Arial"/>
              </w:rPr>
            </w:pPr>
            <w:r w:rsidRPr="0033535F">
              <w:rPr>
                <w:rFonts w:ascii="Arial" w:hAnsi="Arial" w:cs="Arial"/>
              </w:rPr>
              <w:t>4815</w:t>
            </w:r>
          </w:p>
        </w:tc>
      </w:tr>
      <w:tr w:rsidR="0033535F" w:rsidRPr="0033535F" w14:paraId="07B17976" w14:textId="77777777" w:rsidTr="0033535F">
        <w:trPr>
          <w:trHeight w:val="300"/>
        </w:trPr>
        <w:tc>
          <w:tcPr>
            <w:tcW w:w="1620" w:type="dxa"/>
            <w:noWrap/>
            <w:hideMark/>
          </w:tcPr>
          <w:p w14:paraId="27D1E480" w14:textId="77777777" w:rsidR="0033535F" w:rsidRPr="0033535F" w:rsidRDefault="0033535F" w:rsidP="0033535F">
            <w:pPr>
              <w:rPr>
                <w:rFonts w:ascii="Arial" w:hAnsi="Arial" w:cs="Arial"/>
              </w:rPr>
            </w:pPr>
            <w:r w:rsidRPr="0033535F">
              <w:rPr>
                <w:rFonts w:ascii="Arial" w:hAnsi="Arial" w:cs="Arial"/>
              </w:rPr>
              <w:t>glimepiride</w:t>
            </w:r>
          </w:p>
        </w:tc>
        <w:tc>
          <w:tcPr>
            <w:tcW w:w="3380" w:type="dxa"/>
            <w:noWrap/>
            <w:hideMark/>
          </w:tcPr>
          <w:p w14:paraId="3A37BF44" w14:textId="77777777" w:rsidR="0033535F" w:rsidRPr="0033535F" w:rsidRDefault="0033535F" w:rsidP="0033535F">
            <w:pPr>
              <w:rPr>
                <w:rFonts w:ascii="Arial" w:hAnsi="Arial" w:cs="Arial"/>
              </w:rPr>
            </w:pPr>
            <w:r w:rsidRPr="0033535F">
              <w:rPr>
                <w:rFonts w:ascii="Arial" w:hAnsi="Arial" w:cs="Arial"/>
              </w:rPr>
              <w:t>25789</w:t>
            </w:r>
          </w:p>
        </w:tc>
      </w:tr>
      <w:tr w:rsidR="0033535F" w:rsidRPr="0033535F" w14:paraId="742FC78D" w14:textId="77777777" w:rsidTr="0033535F">
        <w:trPr>
          <w:trHeight w:val="300"/>
        </w:trPr>
        <w:tc>
          <w:tcPr>
            <w:tcW w:w="1620" w:type="dxa"/>
            <w:noWrap/>
            <w:hideMark/>
          </w:tcPr>
          <w:p w14:paraId="3E8D4A9B" w14:textId="77777777" w:rsidR="0033535F" w:rsidRPr="0033535F" w:rsidRDefault="0033535F" w:rsidP="0033535F">
            <w:pPr>
              <w:rPr>
                <w:rFonts w:ascii="Arial" w:hAnsi="Arial" w:cs="Arial"/>
              </w:rPr>
            </w:pPr>
            <w:r w:rsidRPr="0033535F">
              <w:rPr>
                <w:rFonts w:ascii="Arial" w:hAnsi="Arial" w:cs="Arial"/>
              </w:rPr>
              <w:t>glipizide</w:t>
            </w:r>
          </w:p>
        </w:tc>
        <w:tc>
          <w:tcPr>
            <w:tcW w:w="3380" w:type="dxa"/>
            <w:noWrap/>
            <w:hideMark/>
          </w:tcPr>
          <w:p w14:paraId="4D73F2A0" w14:textId="77777777" w:rsidR="0033535F" w:rsidRPr="0033535F" w:rsidRDefault="0033535F" w:rsidP="0033535F">
            <w:pPr>
              <w:rPr>
                <w:rFonts w:ascii="Arial" w:hAnsi="Arial" w:cs="Arial"/>
              </w:rPr>
            </w:pPr>
            <w:r w:rsidRPr="0033535F">
              <w:rPr>
                <w:rFonts w:ascii="Arial" w:hAnsi="Arial" w:cs="Arial"/>
              </w:rPr>
              <w:t>4821</w:t>
            </w:r>
          </w:p>
        </w:tc>
      </w:tr>
      <w:tr w:rsidR="0033535F" w:rsidRPr="0033535F" w14:paraId="3447C31F" w14:textId="77777777" w:rsidTr="0033535F">
        <w:trPr>
          <w:trHeight w:val="300"/>
        </w:trPr>
        <w:tc>
          <w:tcPr>
            <w:tcW w:w="1620" w:type="dxa"/>
            <w:hideMark/>
          </w:tcPr>
          <w:p w14:paraId="68076DD9" w14:textId="77777777" w:rsidR="0033535F" w:rsidRPr="0033535F" w:rsidRDefault="0033535F" w:rsidP="0033535F">
            <w:pPr>
              <w:rPr>
                <w:rFonts w:ascii="Arial" w:hAnsi="Arial" w:cs="Arial"/>
              </w:rPr>
            </w:pPr>
            <w:proofErr w:type="spellStart"/>
            <w:r w:rsidRPr="0033535F">
              <w:rPr>
                <w:rFonts w:ascii="Arial" w:hAnsi="Arial" w:cs="Arial"/>
              </w:rPr>
              <w:t>glucotrol</w:t>
            </w:r>
            <w:proofErr w:type="spellEnd"/>
            <w:r w:rsidRPr="0033535F">
              <w:rPr>
                <w:rFonts w:ascii="Arial" w:hAnsi="Arial" w:cs="Arial"/>
              </w:rPr>
              <w:t xml:space="preserve"> xl</w:t>
            </w:r>
          </w:p>
        </w:tc>
        <w:tc>
          <w:tcPr>
            <w:tcW w:w="3380" w:type="dxa"/>
            <w:hideMark/>
          </w:tcPr>
          <w:p w14:paraId="000E00F7" w14:textId="77777777" w:rsidR="0033535F" w:rsidRPr="0033535F" w:rsidRDefault="0033535F" w:rsidP="0033535F">
            <w:pPr>
              <w:rPr>
                <w:rFonts w:ascii="Arial" w:hAnsi="Arial" w:cs="Arial"/>
              </w:rPr>
            </w:pPr>
            <w:r w:rsidRPr="0033535F">
              <w:rPr>
                <w:rFonts w:ascii="Arial" w:hAnsi="Arial" w:cs="Arial"/>
              </w:rPr>
              <w:t>217360</w:t>
            </w:r>
          </w:p>
        </w:tc>
      </w:tr>
      <w:tr w:rsidR="0033535F" w:rsidRPr="0033535F" w14:paraId="6DD53056" w14:textId="77777777" w:rsidTr="0033535F">
        <w:trPr>
          <w:trHeight w:val="300"/>
        </w:trPr>
        <w:tc>
          <w:tcPr>
            <w:tcW w:w="1620" w:type="dxa"/>
            <w:noWrap/>
            <w:hideMark/>
          </w:tcPr>
          <w:p w14:paraId="4015495D" w14:textId="77777777" w:rsidR="0033535F" w:rsidRPr="0033535F" w:rsidRDefault="0033535F" w:rsidP="0033535F">
            <w:pPr>
              <w:rPr>
                <w:rFonts w:ascii="Arial" w:hAnsi="Arial" w:cs="Arial"/>
              </w:rPr>
            </w:pPr>
            <w:r w:rsidRPr="0033535F">
              <w:rPr>
                <w:rFonts w:ascii="Arial" w:hAnsi="Arial" w:cs="Arial"/>
              </w:rPr>
              <w:t>Glyburide</w:t>
            </w:r>
          </w:p>
        </w:tc>
        <w:tc>
          <w:tcPr>
            <w:tcW w:w="3380" w:type="dxa"/>
            <w:noWrap/>
            <w:hideMark/>
          </w:tcPr>
          <w:p w14:paraId="0BAC58BE" w14:textId="77777777" w:rsidR="0033535F" w:rsidRPr="0033535F" w:rsidRDefault="0033535F" w:rsidP="0033535F">
            <w:pPr>
              <w:rPr>
                <w:rFonts w:ascii="Arial" w:hAnsi="Arial" w:cs="Arial"/>
              </w:rPr>
            </w:pPr>
            <w:r w:rsidRPr="0033535F">
              <w:rPr>
                <w:rFonts w:ascii="Arial" w:hAnsi="Arial" w:cs="Arial"/>
              </w:rPr>
              <w:t>4815</w:t>
            </w:r>
          </w:p>
        </w:tc>
      </w:tr>
      <w:tr w:rsidR="0033535F" w:rsidRPr="0033535F" w14:paraId="1E747224" w14:textId="77777777" w:rsidTr="0033535F">
        <w:trPr>
          <w:trHeight w:val="300"/>
        </w:trPr>
        <w:tc>
          <w:tcPr>
            <w:tcW w:w="1620" w:type="dxa"/>
            <w:noWrap/>
            <w:hideMark/>
          </w:tcPr>
          <w:p w14:paraId="26AC3FBD" w14:textId="77777777" w:rsidR="0033535F" w:rsidRPr="0033535F" w:rsidRDefault="0033535F" w:rsidP="0033535F">
            <w:pPr>
              <w:rPr>
                <w:rFonts w:ascii="Arial" w:hAnsi="Arial" w:cs="Arial"/>
              </w:rPr>
            </w:pPr>
            <w:proofErr w:type="spellStart"/>
            <w:r w:rsidRPr="0033535F">
              <w:rPr>
                <w:rFonts w:ascii="Arial" w:hAnsi="Arial" w:cs="Arial"/>
              </w:rPr>
              <w:t>invokana</w:t>
            </w:r>
            <w:proofErr w:type="spellEnd"/>
          </w:p>
        </w:tc>
        <w:tc>
          <w:tcPr>
            <w:tcW w:w="3380" w:type="dxa"/>
            <w:noWrap/>
            <w:hideMark/>
          </w:tcPr>
          <w:p w14:paraId="39161019" w14:textId="77777777" w:rsidR="0033535F" w:rsidRPr="0033535F" w:rsidRDefault="0033535F" w:rsidP="0033535F">
            <w:pPr>
              <w:rPr>
                <w:rFonts w:ascii="Arial" w:hAnsi="Arial" w:cs="Arial"/>
              </w:rPr>
            </w:pPr>
            <w:r w:rsidRPr="0033535F">
              <w:rPr>
                <w:rFonts w:ascii="Arial" w:hAnsi="Arial" w:cs="Arial"/>
              </w:rPr>
              <w:t>1422507</w:t>
            </w:r>
          </w:p>
        </w:tc>
      </w:tr>
      <w:tr w:rsidR="0033535F" w:rsidRPr="0033535F" w14:paraId="009A3127" w14:textId="77777777" w:rsidTr="0033535F">
        <w:trPr>
          <w:trHeight w:val="300"/>
        </w:trPr>
        <w:tc>
          <w:tcPr>
            <w:tcW w:w="1620" w:type="dxa"/>
            <w:noWrap/>
            <w:hideMark/>
          </w:tcPr>
          <w:p w14:paraId="744B877F" w14:textId="77777777" w:rsidR="0033535F" w:rsidRPr="0033535F" w:rsidRDefault="0033535F" w:rsidP="0033535F">
            <w:pPr>
              <w:rPr>
                <w:rFonts w:ascii="Arial" w:hAnsi="Arial" w:cs="Arial"/>
              </w:rPr>
            </w:pPr>
            <w:proofErr w:type="spellStart"/>
            <w:r w:rsidRPr="0033535F">
              <w:rPr>
                <w:rFonts w:ascii="Arial" w:hAnsi="Arial" w:cs="Arial"/>
              </w:rPr>
              <w:t>linagliptin</w:t>
            </w:r>
            <w:proofErr w:type="spellEnd"/>
          </w:p>
        </w:tc>
        <w:tc>
          <w:tcPr>
            <w:tcW w:w="3380" w:type="dxa"/>
            <w:noWrap/>
            <w:hideMark/>
          </w:tcPr>
          <w:p w14:paraId="109A0ABA" w14:textId="77777777" w:rsidR="0033535F" w:rsidRPr="0033535F" w:rsidRDefault="0033535F" w:rsidP="0033535F">
            <w:pPr>
              <w:rPr>
                <w:rFonts w:ascii="Arial" w:hAnsi="Arial" w:cs="Arial"/>
              </w:rPr>
            </w:pPr>
            <w:r w:rsidRPr="0033535F">
              <w:rPr>
                <w:rFonts w:ascii="Arial" w:hAnsi="Arial" w:cs="Arial"/>
              </w:rPr>
              <w:t>1100699</w:t>
            </w:r>
          </w:p>
        </w:tc>
      </w:tr>
      <w:tr w:rsidR="0033535F" w:rsidRPr="0033535F" w14:paraId="700565C1" w14:textId="77777777" w:rsidTr="0033535F">
        <w:trPr>
          <w:trHeight w:val="300"/>
        </w:trPr>
        <w:tc>
          <w:tcPr>
            <w:tcW w:w="1620" w:type="dxa"/>
            <w:noWrap/>
            <w:hideMark/>
          </w:tcPr>
          <w:p w14:paraId="365C65C2" w14:textId="77777777" w:rsidR="0033535F" w:rsidRPr="0033535F" w:rsidRDefault="0033535F" w:rsidP="0033535F">
            <w:pPr>
              <w:rPr>
                <w:rFonts w:ascii="Arial" w:hAnsi="Arial" w:cs="Arial"/>
              </w:rPr>
            </w:pPr>
            <w:proofErr w:type="spellStart"/>
            <w:r w:rsidRPr="0033535F">
              <w:rPr>
                <w:rFonts w:ascii="Arial" w:hAnsi="Arial" w:cs="Arial"/>
              </w:rPr>
              <w:t>liraglutide</w:t>
            </w:r>
            <w:proofErr w:type="spellEnd"/>
          </w:p>
        </w:tc>
        <w:tc>
          <w:tcPr>
            <w:tcW w:w="3380" w:type="dxa"/>
            <w:noWrap/>
            <w:hideMark/>
          </w:tcPr>
          <w:p w14:paraId="11B88CFC" w14:textId="77777777" w:rsidR="0033535F" w:rsidRPr="0033535F" w:rsidRDefault="0033535F" w:rsidP="0033535F">
            <w:pPr>
              <w:rPr>
                <w:rFonts w:ascii="Arial" w:hAnsi="Arial" w:cs="Arial"/>
              </w:rPr>
            </w:pPr>
            <w:r w:rsidRPr="0033535F">
              <w:rPr>
                <w:rFonts w:ascii="Arial" w:hAnsi="Arial" w:cs="Arial"/>
              </w:rPr>
              <w:t>475968</w:t>
            </w:r>
          </w:p>
        </w:tc>
      </w:tr>
      <w:tr w:rsidR="0033535F" w:rsidRPr="0033535F" w14:paraId="1D9CDD69" w14:textId="77777777" w:rsidTr="0033535F">
        <w:trPr>
          <w:trHeight w:val="300"/>
        </w:trPr>
        <w:tc>
          <w:tcPr>
            <w:tcW w:w="1620" w:type="dxa"/>
            <w:noWrap/>
            <w:hideMark/>
          </w:tcPr>
          <w:p w14:paraId="1A1D7E86" w14:textId="77777777" w:rsidR="0033535F" w:rsidRPr="0033535F" w:rsidRDefault="0033535F" w:rsidP="0033535F">
            <w:pPr>
              <w:rPr>
                <w:rFonts w:ascii="Arial" w:hAnsi="Arial" w:cs="Arial"/>
              </w:rPr>
            </w:pPr>
            <w:proofErr w:type="spellStart"/>
            <w:r w:rsidRPr="0033535F">
              <w:rPr>
                <w:rFonts w:ascii="Arial" w:hAnsi="Arial" w:cs="Arial"/>
              </w:rPr>
              <w:t>lixisenatide</w:t>
            </w:r>
            <w:proofErr w:type="spellEnd"/>
          </w:p>
        </w:tc>
        <w:tc>
          <w:tcPr>
            <w:tcW w:w="3380" w:type="dxa"/>
            <w:noWrap/>
            <w:hideMark/>
          </w:tcPr>
          <w:p w14:paraId="788B933F" w14:textId="77777777" w:rsidR="0033535F" w:rsidRPr="0033535F" w:rsidRDefault="0033535F" w:rsidP="0033535F">
            <w:pPr>
              <w:rPr>
                <w:rFonts w:ascii="Arial" w:hAnsi="Arial" w:cs="Arial"/>
              </w:rPr>
            </w:pPr>
            <w:r w:rsidRPr="0033535F">
              <w:rPr>
                <w:rFonts w:ascii="Arial" w:hAnsi="Arial" w:cs="Arial"/>
              </w:rPr>
              <w:t>1440051</w:t>
            </w:r>
          </w:p>
        </w:tc>
      </w:tr>
      <w:tr w:rsidR="0033535F" w:rsidRPr="0033535F" w14:paraId="68BB7E3A" w14:textId="77777777" w:rsidTr="0033535F">
        <w:trPr>
          <w:trHeight w:val="300"/>
        </w:trPr>
        <w:tc>
          <w:tcPr>
            <w:tcW w:w="1620" w:type="dxa"/>
            <w:hideMark/>
          </w:tcPr>
          <w:p w14:paraId="25E6D2FF" w14:textId="77777777" w:rsidR="0033535F" w:rsidRPr="0033535F" w:rsidRDefault="0033535F" w:rsidP="0033535F">
            <w:pPr>
              <w:rPr>
                <w:rFonts w:ascii="Arial" w:hAnsi="Arial" w:cs="Arial"/>
              </w:rPr>
            </w:pPr>
            <w:r w:rsidRPr="0033535F">
              <w:rPr>
                <w:rFonts w:ascii="Arial" w:hAnsi="Arial" w:cs="Arial"/>
              </w:rPr>
              <w:t>metformin</w:t>
            </w:r>
          </w:p>
        </w:tc>
        <w:tc>
          <w:tcPr>
            <w:tcW w:w="3380" w:type="dxa"/>
            <w:hideMark/>
          </w:tcPr>
          <w:p w14:paraId="23394FEA" w14:textId="77777777" w:rsidR="0033535F" w:rsidRPr="0033535F" w:rsidRDefault="0033535F" w:rsidP="0033535F">
            <w:pPr>
              <w:rPr>
                <w:rFonts w:ascii="Arial" w:hAnsi="Arial" w:cs="Arial"/>
              </w:rPr>
            </w:pPr>
            <w:r w:rsidRPr="0033535F">
              <w:rPr>
                <w:rFonts w:ascii="Arial" w:hAnsi="Arial" w:cs="Arial"/>
              </w:rPr>
              <w:t>6809</w:t>
            </w:r>
          </w:p>
        </w:tc>
      </w:tr>
      <w:tr w:rsidR="0033535F" w:rsidRPr="0033535F" w14:paraId="4B37A358" w14:textId="77777777" w:rsidTr="0033535F">
        <w:trPr>
          <w:trHeight w:val="300"/>
        </w:trPr>
        <w:tc>
          <w:tcPr>
            <w:tcW w:w="1620" w:type="dxa"/>
            <w:hideMark/>
          </w:tcPr>
          <w:p w14:paraId="7BE65613" w14:textId="77777777" w:rsidR="0033535F" w:rsidRPr="0033535F" w:rsidRDefault="0033535F" w:rsidP="0033535F">
            <w:pPr>
              <w:rPr>
                <w:rFonts w:ascii="Arial" w:hAnsi="Arial" w:cs="Arial"/>
              </w:rPr>
            </w:pPr>
            <w:proofErr w:type="spellStart"/>
            <w:r w:rsidRPr="0033535F">
              <w:rPr>
                <w:rFonts w:ascii="Arial" w:hAnsi="Arial" w:cs="Arial"/>
              </w:rPr>
              <w:t>miglitol</w:t>
            </w:r>
            <w:proofErr w:type="spellEnd"/>
          </w:p>
        </w:tc>
        <w:tc>
          <w:tcPr>
            <w:tcW w:w="3380" w:type="dxa"/>
            <w:hideMark/>
          </w:tcPr>
          <w:p w14:paraId="4E812364" w14:textId="77777777" w:rsidR="0033535F" w:rsidRPr="0033535F" w:rsidRDefault="0033535F" w:rsidP="0033535F">
            <w:pPr>
              <w:rPr>
                <w:rFonts w:ascii="Arial" w:hAnsi="Arial" w:cs="Arial"/>
              </w:rPr>
            </w:pPr>
            <w:r w:rsidRPr="0033535F">
              <w:rPr>
                <w:rFonts w:ascii="Arial" w:hAnsi="Arial" w:cs="Arial"/>
              </w:rPr>
              <w:t>30009</w:t>
            </w:r>
          </w:p>
        </w:tc>
      </w:tr>
      <w:tr w:rsidR="0033535F" w:rsidRPr="0033535F" w14:paraId="633A5175" w14:textId="77777777" w:rsidTr="0033535F">
        <w:trPr>
          <w:trHeight w:val="300"/>
        </w:trPr>
        <w:tc>
          <w:tcPr>
            <w:tcW w:w="1620" w:type="dxa"/>
            <w:noWrap/>
            <w:hideMark/>
          </w:tcPr>
          <w:p w14:paraId="30825604" w14:textId="77777777" w:rsidR="0033535F" w:rsidRPr="0033535F" w:rsidRDefault="0033535F" w:rsidP="0033535F">
            <w:pPr>
              <w:rPr>
                <w:rFonts w:ascii="Arial" w:hAnsi="Arial" w:cs="Arial"/>
              </w:rPr>
            </w:pPr>
            <w:proofErr w:type="spellStart"/>
            <w:r w:rsidRPr="0033535F">
              <w:rPr>
                <w:rFonts w:ascii="Arial" w:hAnsi="Arial" w:cs="Arial"/>
              </w:rPr>
              <w:t>nateglinide</w:t>
            </w:r>
            <w:proofErr w:type="spellEnd"/>
          </w:p>
        </w:tc>
        <w:tc>
          <w:tcPr>
            <w:tcW w:w="3380" w:type="dxa"/>
            <w:noWrap/>
            <w:hideMark/>
          </w:tcPr>
          <w:p w14:paraId="132A9246" w14:textId="77777777" w:rsidR="0033535F" w:rsidRPr="0033535F" w:rsidRDefault="0033535F" w:rsidP="0033535F">
            <w:pPr>
              <w:rPr>
                <w:rFonts w:ascii="Arial" w:hAnsi="Arial" w:cs="Arial"/>
              </w:rPr>
            </w:pPr>
            <w:r w:rsidRPr="0033535F">
              <w:rPr>
                <w:rFonts w:ascii="Arial" w:hAnsi="Arial" w:cs="Arial"/>
              </w:rPr>
              <w:t>274332</w:t>
            </w:r>
          </w:p>
        </w:tc>
      </w:tr>
      <w:tr w:rsidR="0033535F" w:rsidRPr="0033535F" w14:paraId="1247EF2B" w14:textId="77777777" w:rsidTr="0033535F">
        <w:trPr>
          <w:trHeight w:val="300"/>
        </w:trPr>
        <w:tc>
          <w:tcPr>
            <w:tcW w:w="1620" w:type="dxa"/>
            <w:noWrap/>
            <w:hideMark/>
          </w:tcPr>
          <w:p w14:paraId="4F53E107" w14:textId="77777777" w:rsidR="0033535F" w:rsidRPr="0033535F" w:rsidRDefault="0033535F" w:rsidP="0033535F">
            <w:pPr>
              <w:rPr>
                <w:rFonts w:ascii="Arial" w:hAnsi="Arial" w:cs="Arial"/>
              </w:rPr>
            </w:pPr>
            <w:r w:rsidRPr="0033535F">
              <w:rPr>
                <w:rFonts w:ascii="Arial" w:hAnsi="Arial" w:cs="Arial"/>
              </w:rPr>
              <w:t>pioglitazone</w:t>
            </w:r>
          </w:p>
        </w:tc>
        <w:tc>
          <w:tcPr>
            <w:tcW w:w="3380" w:type="dxa"/>
            <w:noWrap/>
            <w:hideMark/>
          </w:tcPr>
          <w:p w14:paraId="5FEC961E" w14:textId="77777777" w:rsidR="0033535F" w:rsidRPr="0033535F" w:rsidRDefault="0033535F" w:rsidP="0033535F">
            <w:pPr>
              <w:rPr>
                <w:rFonts w:ascii="Arial" w:hAnsi="Arial" w:cs="Arial"/>
              </w:rPr>
            </w:pPr>
            <w:r w:rsidRPr="0033535F">
              <w:rPr>
                <w:rFonts w:ascii="Arial" w:hAnsi="Arial" w:cs="Arial"/>
              </w:rPr>
              <w:t>33738</w:t>
            </w:r>
          </w:p>
        </w:tc>
      </w:tr>
      <w:tr w:rsidR="0033535F" w:rsidRPr="0033535F" w14:paraId="5E4D3778" w14:textId="77777777" w:rsidTr="0033535F">
        <w:trPr>
          <w:trHeight w:val="300"/>
        </w:trPr>
        <w:tc>
          <w:tcPr>
            <w:tcW w:w="1620" w:type="dxa"/>
            <w:noWrap/>
            <w:hideMark/>
          </w:tcPr>
          <w:p w14:paraId="6CAEF82B" w14:textId="77777777" w:rsidR="0033535F" w:rsidRPr="0033535F" w:rsidRDefault="0033535F" w:rsidP="0033535F">
            <w:pPr>
              <w:rPr>
                <w:rFonts w:ascii="Arial" w:hAnsi="Arial" w:cs="Arial"/>
              </w:rPr>
            </w:pPr>
            <w:proofErr w:type="spellStart"/>
            <w:r w:rsidRPr="0033535F">
              <w:rPr>
                <w:rFonts w:ascii="Arial" w:hAnsi="Arial" w:cs="Arial"/>
              </w:rPr>
              <w:t>prandimet</w:t>
            </w:r>
            <w:proofErr w:type="spellEnd"/>
          </w:p>
        </w:tc>
        <w:tc>
          <w:tcPr>
            <w:tcW w:w="3380" w:type="dxa"/>
            <w:noWrap/>
            <w:hideMark/>
          </w:tcPr>
          <w:p w14:paraId="0F7388A1" w14:textId="77777777" w:rsidR="0033535F" w:rsidRPr="0033535F" w:rsidRDefault="0033535F" w:rsidP="0033535F">
            <w:pPr>
              <w:rPr>
                <w:rFonts w:ascii="Arial" w:hAnsi="Arial" w:cs="Arial"/>
              </w:rPr>
            </w:pPr>
            <w:r w:rsidRPr="0033535F">
              <w:rPr>
                <w:rFonts w:ascii="Arial" w:hAnsi="Arial" w:cs="Arial"/>
              </w:rPr>
              <w:t>802660</w:t>
            </w:r>
          </w:p>
        </w:tc>
      </w:tr>
      <w:tr w:rsidR="0033535F" w:rsidRPr="0033535F" w14:paraId="3F3A9342" w14:textId="77777777" w:rsidTr="0033535F">
        <w:trPr>
          <w:trHeight w:val="300"/>
        </w:trPr>
        <w:tc>
          <w:tcPr>
            <w:tcW w:w="1620" w:type="dxa"/>
            <w:noWrap/>
            <w:hideMark/>
          </w:tcPr>
          <w:p w14:paraId="5355CC29" w14:textId="77777777" w:rsidR="0033535F" w:rsidRPr="0033535F" w:rsidRDefault="0033535F" w:rsidP="0033535F">
            <w:pPr>
              <w:rPr>
                <w:rFonts w:ascii="Arial" w:hAnsi="Arial" w:cs="Arial"/>
              </w:rPr>
            </w:pPr>
            <w:proofErr w:type="spellStart"/>
            <w:r w:rsidRPr="0033535F">
              <w:rPr>
                <w:rFonts w:ascii="Arial" w:hAnsi="Arial" w:cs="Arial"/>
              </w:rPr>
              <w:t>repaglinide</w:t>
            </w:r>
            <w:proofErr w:type="spellEnd"/>
          </w:p>
        </w:tc>
        <w:tc>
          <w:tcPr>
            <w:tcW w:w="3380" w:type="dxa"/>
            <w:noWrap/>
            <w:hideMark/>
          </w:tcPr>
          <w:p w14:paraId="1D862B5F" w14:textId="77777777" w:rsidR="0033535F" w:rsidRPr="0033535F" w:rsidRDefault="0033535F" w:rsidP="0033535F">
            <w:pPr>
              <w:rPr>
                <w:rFonts w:ascii="Arial" w:hAnsi="Arial" w:cs="Arial"/>
              </w:rPr>
            </w:pPr>
            <w:r w:rsidRPr="0033535F">
              <w:rPr>
                <w:rFonts w:ascii="Arial" w:hAnsi="Arial" w:cs="Arial"/>
              </w:rPr>
              <w:t>73044</w:t>
            </w:r>
          </w:p>
        </w:tc>
      </w:tr>
      <w:tr w:rsidR="0033535F" w:rsidRPr="0033535F" w14:paraId="448C8A19" w14:textId="77777777" w:rsidTr="0033535F">
        <w:trPr>
          <w:trHeight w:val="300"/>
        </w:trPr>
        <w:tc>
          <w:tcPr>
            <w:tcW w:w="1620" w:type="dxa"/>
            <w:noWrap/>
            <w:hideMark/>
          </w:tcPr>
          <w:p w14:paraId="45302A36" w14:textId="77777777" w:rsidR="0033535F" w:rsidRPr="0033535F" w:rsidRDefault="0033535F" w:rsidP="0033535F">
            <w:pPr>
              <w:rPr>
                <w:rFonts w:ascii="Arial" w:hAnsi="Arial" w:cs="Arial"/>
              </w:rPr>
            </w:pPr>
            <w:r w:rsidRPr="0033535F">
              <w:rPr>
                <w:rFonts w:ascii="Arial" w:hAnsi="Arial" w:cs="Arial"/>
              </w:rPr>
              <w:t>rosiglitazone</w:t>
            </w:r>
          </w:p>
        </w:tc>
        <w:tc>
          <w:tcPr>
            <w:tcW w:w="3380" w:type="dxa"/>
            <w:noWrap/>
            <w:hideMark/>
          </w:tcPr>
          <w:p w14:paraId="63D02E49" w14:textId="77777777" w:rsidR="0033535F" w:rsidRPr="0033535F" w:rsidRDefault="0033535F" w:rsidP="0033535F">
            <w:pPr>
              <w:rPr>
                <w:rFonts w:ascii="Arial" w:hAnsi="Arial" w:cs="Arial"/>
              </w:rPr>
            </w:pPr>
            <w:r w:rsidRPr="0033535F">
              <w:rPr>
                <w:rFonts w:ascii="Arial" w:hAnsi="Arial" w:cs="Arial"/>
              </w:rPr>
              <w:t>84108</w:t>
            </w:r>
          </w:p>
        </w:tc>
      </w:tr>
      <w:tr w:rsidR="0033535F" w:rsidRPr="0033535F" w14:paraId="39C857C2" w14:textId="77777777" w:rsidTr="0033535F">
        <w:trPr>
          <w:trHeight w:val="300"/>
        </w:trPr>
        <w:tc>
          <w:tcPr>
            <w:tcW w:w="1620" w:type="dxa"/>
            <w:noWrap/>
            <w:hideMark/>
          </w:tcPr>
          <w:p w14:paraId="5E9ACA48" w14:textId="77777777" w:rsidR="0033535F" w:rsidRPr="0033535F" w:rsidRDefault="0033535F" w:rsidP="0033535F">
            <w:pPr>
              <w:rPr>
                <w:rFonts w:ascii="Arial" w:hAnsi="Arial" w:cs="Arial"/>
              </w:rPr>
            </w:pPr>
            <w:proofErr w:type="spellStart"/>
            <w:r w:rsidRPr="0033535F">
              <w:rPr>
                <w:rFonts w:ascii="Arial" w:hAnsi="Arial" w:cs="Arial"/>
              </w:rPr>
              <w:t>saxagliptin</w:t>
            </w:r>
            <w:proofErr w:type="spellEnd"/>
          </w:p>
        </w:tc>
        <w:tc>
          <w:tcPr>
            <w:tcW w:w="3380" w:type="dxa"/>
            <w:noWrap/>
            <w:hideMark/>
          </w:tcPr>
          <w:p w14:paraId="734F06E4" w14:textId="77777777" w:rsidR="0033535F" w:rsidRPr="0033535F" w:rsidRDefault="0033535F" w:rsidP="0033535F">
            <w:pPr>
              <w:rPr>
                <w:rFonts w:ascii="Arial" w:hAnsi="Arial" w:cs="Arial"/>
              </w:rPr>
            </w:pPr>
            <w:r w:rsidRPr="0033535F">
              <w:rPr>
                <w:rFonts w:ascii="Arial" w:hAnsi="Arial" w:cs="Arial"/>
              </w:rPr>
              <w:t>857974</w:t>
            </w:r>
          </w:p>
        </w:tc>
      </w:tr>
      <w:tr w:rsidR="0033535F" w:rsidRPr="0033535F" w14:paraId="62B8B917" w14:textId="77777777" w:rsidTr="0033535F">
        <w:trPr>
          <w:trHeight w:val="300"/>
        </w:trPr>
        <w:tc>
          <w:tcPr>
            <w:tcW w:w="1620" w:type="dxa"/>
            <w:noWrap/>
            <w:hideMark/>
          </w:tcPr>
          <w:p w14:paraId="55DB7BED" w14:textId="77777777" w:rsidR="0033535F" w:rsidRPr="0033535F" w:rsidRDefault="0033535F" w:rsidP="0033535F">
            <w:pPr>
              <w:rPr>
                <w:rFonts w:ascii="Arial" w:hAnsi="Arial" w:cs="Arial"/>
              </w:rPr>
            </w:pPr>
            <w:proofErr w:type="spellStart"/>
            <w:r w:rsidRPr="0033535F">
              <w:rPr>
                <w:rFonts w:ascii="Arial" w:hAnsi="Arial" w:cs="Arial"/>
              </w:rPr>
              <w:t>semaglutide</w:t>
            </w:r>
            <w:proofErr w:type="spellEnd"/>
          </w:p>
        </w:tc>
        <w:tc>
          <w:tcPr>
            <w:tcW w:w="3380" w:type="dxa"/>
            <w:noWrap/>
            <w:hideMark/>
          </w:tcPr>
          <w:p w14:paraId="602E13C1" w14:textId="77777777" w:rsidR="0033535F" w:rsidRPr="0033535F" w:rsidRDefault="0033535F" w:rsidP="0033535F">
            <w:pPr>
              <w:rPr>
                <w:rFonts w:ascii="Arial" w:hAnsi="Arial" w:cs="Arial"/>
              </w:rPr>
            </w:pPr>
            <w:r w:rsidRPr="0033535F">
              <w:rPr>
                <w:rFonts w:ascii="Arial" w:hAnsi="Arial" w:cs="Arial"/>
              </w:rPr>
              <w:t>1991302</w:t>
            </w:r>
          </w:p>
        </w:tc>
      </w:tr>
      <w:tr w:rsidR="0033535F" w:rsidRPr="0033535F" w14:paraId="1E4DFD37" w14:textId="77777777" w:rsidTr="0033535F">
        <w:trPr>
          <w:trHeight w:val="300"/>
        </w:trPr>
        <w:tc>
          <w:tcPr>
            <w:tcW w:w="1620" w:type="dxa"/>
            <w:noWrap/>
            <w:hideMark/>
          </w:tcPr>
          <w:p w14:paraId="63A1895C" w14:textId="77777777" w:rsidR="0033535F" w:rsidRPr="0033535F" w:rsidRDefault="0033535F" w:rsidP="0033535F">
            <w:pPr>
              <w:rPr>
                <w:rFonts w:ascii="Arial" w:hAnsi="Arial" w:cs="Arial"/>
              </w:rPr>
            </w:pPr>
            <w:proofErr w:type="spellStart"/>
            <w:r w:rsidRPr="0033535F">
              <w:rPr>
                <w:rFonts w:ascii="Arial" w:hAnsi="Arial" w:cs="Arial"/>
              </w:rPr>
              <w:t>sitagliptin</w:t>
            </w:r>
            <w:proofErr w:type="spellEnd"/>
          </w:p>
        </w:tc>
        <w:tc>
          <w:tcPr>
            <w:tcW w:w="3380" w:type="dxa"/>
            <w:noWrap/>
            <w:hideMark/>
          </w:tcPr>
          <w:p w14:paraId="471F7EBD" w14:textId="77777777" w:rsidR="0033535F" w:rsidRPr="0033535F" w:rsidRDefault="0033535F" w:rsidP="0033535F">
            <w:pPr>
              <w:rPr>
                <w:rFonts w:ascii="Arial" w:hAnsi="Arial" w:cs="Arial"/>
              </w:rPr>
            </w:pPr>
            <w:r w:rsidRPr="0033535F">
              <w:rPr>
                <w:rFonts w:ascii="Arial" w:hAnsi="Arial" w:cs="Arial"/>
              </w:rPr>
              <w:t>593411</w:t>
            </w:r>
          </w:p>
        </w:tc>
      </w:tr>
      <w:tr w:rsidR="0033535F" w:rsidRPr="0033535F" w14:paraId="0A47C519" w14:textId="77777777" w:rsidTr="0033535F">
        <w:trPr>
          <w:trHeight w:val="300"/>
        </w:trPr>
        <w:tc>
          <w:tcPr>
            <w:tcW w:w="1620" w:type="dxa"/>
            <w:noWrap/>
            <w:hideMark/>
          </w:tcPr>
          <w:p w14:paraId="30F7F7AE" w14:textId="77777777" w:rsidR="0033535F" w:rsidRPr="0033535F" w:rsidRDefault="0033535F" w:rsidP="0033535F">
            <w:pPr>
              <w:rPr>
                <w:rFonts w:ascii="Arial" w:hAnsi="Arial" w:cs="Arial"/>
              </w:rPr>
            </w:pPr>
            <w:proofErr w:type="spellStart"/>
            <w:r w:rsidRPr="0033535F">
              <w:rPr>
                <w:rFonts w:ascii="Arial" w:hAnsi="Arial" w:cs="Arial"/>
              </w:rPr>
              <w:t>tolazamide</w:t>
            </w:r>
            <w:proofErr w:type="spellEnd"/>
          </w:p>
        </w:tc>
        <w:tc>
          <w:tcPr>
            <w:tcW w:w="3380" w:type="dxa"/>
            <w:noWrap/>
            <w:hideMark/>
          </w:tcPr>
          <w:p w14:paraId="33E599BD" w14:textId="77777777" w:rsidR="0033535F" w:rsidRPr="0033535F" w:rsidRDefault="0033535F" w:rsidP="0033535F">
            <w:pPr>
              <w:rPr>
                <w:rFonts w:ascii="Arial" w:hAnsi="Arial" w:cs="Arial"/>
              </w:rPr>
            </w:pPr>
            <w:r w:rsidRPr="0033535F">
              <w:rPr>
                <w:rFonts w:ascii="Arial" w:hAnsi="Arial" w:cs="Arial"/>
              </w:rPr>
              <w:t>10633</w:t>
            </w:r>
          </w:p>
        </w:tc>
      </w:tr>
      <w:tr w:rsidR="0033535F" w:rsidRPr="0033535F" w14:paraId="338F0CE9" w14:textId="77777777" w:rsidTr="0033535F">
        <w:trPr>
          <w:trHeight w:val="300"/>
        </w:trPr>
        <w:tc>
          <w:tcPr>
            <w:tcW w:w="1620" w:type="dxa"/>
            <w:noWrap/>
            <w:hideMark/>
          </w:tcPr>
          <w:p w14:paraId="7E6116F6" w14:textId="77777777" w:rsidR="0033535F" w:rsidRPr="0033535F" w:rsidRDefault="0033535F" w:rsidP="0033535F">
            <w:pPr>
              <w:rPr>
                <w:rFonts w:ascii="Arial" w:hAnsi="Arial" w:cs="Arial"/>
              </w:rPr>
            </w:pPr>
            <w:proofErr w:type="spellStart"/>
            <w:r w:rsidRPr="0033535F">
              <w:rPr>
                <w:rFonts w:ascii="Arial" w:hAnsi="Arial" w:cs="Arial"/>
              </w:rPr>
              <w:t>tolbutamide</w:t>
            </w:r>
            <w:proofErr w:type="spellEnd"/>
          </w:p>
        </w:tc>
        <w:tc>
          <w:tcPr>
            <w:tcW w:w="3380" w:type="dxa"/>
            <w:noWrap/>
            <w:hideMark/>
          </w:tcPr>
          <w:p w14:paraId="6DBAD520" w14:textId="77777777" w:rsidR="0033535F" w:rsidRPr="0033535F" w:rsidRDefault="0033535F" w:rsidP="0033535F">
            <w:pPr>
              <w:rPr>
                <w:rFonts w:ascii="Arial" w:hAnsi="Arial" w:cs="Arial"/>
              </w:rPr>
            </w:pPr>
            <w:r w:rsidRPr="0033535F">
              <w:rPr>
                <w:rFonts w:ascii="Arial" w:hAnsi="Arial" w:cs="Arial"/>
              </w:rPr>
              <w:t>10635</w:t>
            </w:r>
          </w:p>
        </w:tc>
      </w:tr>
      <w:tr w:rsidR="0033535F" w:rsidRPr="0033535F" w14:paraId="0703AF42" w14:textId="77777777" w:rsidTr="0033535F">
        <w:trPr>
          <w:trHeight w:val="300"/>
        </w:trPr>
        <w:tc>
          <w:tcPr>
            <w:tcW w:w="1620" w:type="dxa"/>
            <w:noWrap/>
            <w:hideMark/>
          </w:tcPr>
          <w:p w14:paraId="11EF09DC" w14:textId="77777777" w:rsidR="0033535F" w:rsidRPr="0033535F" w:rsidRDefault="0033535F" w:rsidP="0033535F">
            <w:pPr>
              <w:rPr>
                <w:rFonts w:ascii="Arial" w:hAnsi="Arial" w:cs="Arial"/>
              </w:rPr>
            </w:pPr>
            <w:proofErr w:type="spellStart"/>
            <w:r w:rsidRPr="0033535F">
              <w:rPr>
                <w:rFonts w:ascii="Arial" w:hAnsi="Arial" w:cs="Arial"/>
              </w:rPr>
              <w:t>troglitazone</w:t>
            </w:r>
            <w:proofErr w:type="spellEnd"/>
          </w:p>
        </w:tc>
        <w:tc>
          <w:tcPr>
            <w:tcW w:w="3380" w:type="dxa"/>
            <w:noWrap/>
            <w:hideMark/>
          </w:tcPr>
          <w:p w14:paraId="1A59EDC7" w14:textId="77777777" w:rsidR="0033535F" w:rsidRPr="0033535F" w:rsidRDefault="0033535F" w:rsidP="0033535F">
            <w:pPr>
              <w:rPr>
                <w:rFonts w:ascii="Arial" w:hAnsi="Arial" w:cs="Arial"/>
              </w:rPr>
            </w:pPr>
            <w:r w:rsidRPr="0033535F">
              <w:rPr>
                <w:rFonts w:ascii="Arial" w:hAnsi="Arial" w:cs="Arial"/>
              </w:rPr>
              <w:t>72610</w:t>
            </w:r>
          </w:p>
        </w:tc>
      </w:tr>
    </w:tbl>
    <w:p w14:paraId="0A8FA216" w14:textId="77777777" w:rsidR="0033535F" w:rsidRDefault="0033535F" w:rsidP="009C5B8C">
      <w:pPr>
        <w:spacing w:after="0" w:line="240" w:lineRule="auto"/>
        <w:rPr>
          <w:rFonts w:ascii="Arial" w:hAnsi="Arial" w:cs="Arial"/>
        </w:rPr>
      </w:pPr>
    </w:p>
    <w:p w14:paraId="211407CA" w14:textId="77777777" w:rsidR="008C678B" w:rsidRPr="002F571C" w:rsidRDefault="008C678B" w:rsidP="008C678B">
      <w:pPr>
        <w:spacing w:after="0" w:line="240" w:lineRule="auto"/>
        <w:jc w:val="center"/>
        <w:rPr>
          <w:rFonts w:ascii="Arial" w:hAnsi="Arial" w:cs="Arial"/>
          <w:b/>
        </w:rPr>
      </w:pPr>
      <w:r w:rsidRPr="002F571C">
        <w:rPr>
          <w:rFonts w:ascii="Arial" w:hAnsi="Arial" w:cs="Arial"/>
          <w:b/>
        </w:rPr>
        <w:t>Data Dictionary</w:t>
      </w:r>
    </w:p>
    <w:p w14:paraId="187BA295" w14:textId="77777777" w:rsidR="008C678B" w:rsidRDefault="008C678B" w:rsidP="008C678B">
      <w:pPr>
        <w:spacing w:after="0" w:line="240" w:lineRule="auto"/>
        <w:rPr>
          <w:rFonts w:ascii="Arial" w:hAnsi="Arial" w:cs="Arial"/>
        </w:rPr>
      </w:pPr>
    </w:p>
    <w:p w14:paraId="5A18EB92" w14:textId="360FA72F" w:rsidR="008C678B" w:rsidRDefault="00E3503D" w:rsidP="008C678B">
      <w:pPr>
        <w:spacing w:after="0" w:line="240" w:lineRule="auto"/>
        <w:rPr>
          <w:rFonts w:ascii="Arial" w:hAnsi="Arial" w:cs="Arial"/>
        </w:rPr>
      </w:pPr>
      <w:r>
        <w:rPr>
          <w:rFonts w:ascii="Arial" w:hAnsi="Arial" w:cs="Arial"/>
        </w:rPr>
        <w:t>Return</w:t>
      </w:r>
      <w:r w:rsidR="007216D3">
        <w:rPr>
          <w:rFonts w:ascii="Arial" w:hAnsi="Arial" w:cs="Arial"/>
        </w:rPr>
        <w:t xml:space="preserve"> </w:t>
      </w:r>
      <w:proofErr w:type="spellStart"/>
      <w:r w:rsidR="007216D3">
        <w:rPr>
          <w:rFonts w:ascii="Arial" w:hAnsi="Arial" w:cs="Arial"/>
        </w:rPr>
        <w:t>subjids</w:t>
      </w:r>
      <w:proofErr w:type="spellEnd"/>
      <w:r w:rsidR="007216D3">
        <w:rPr>
          <w:rFonts w:ascii="Arial" w:hAnsi="Arial" w:cs="Arial"/>
        </w:rPr>
        <w:t xml:space="preserve"> for cases and controls with age at first T1D </w:t>
      </w:r>
      <w:r>
        <w:rPr>
          <w:rFonts w:ascii="Arial" w:hAnsi="Arial" w:cs="Arial"/>
        </w:rPr>
        <w:t>diagnosis for cases</w:t>
      </w:r>
      <w:r w:rsidR="004C2BE5">
        <w:rPr>
          <w:rFonts w:ascii="Arial" w:hAnsi="Arial" w:cs="Arial"/>
        </w:rPr>
        <w:t>.</w:t>
      </w:r>
    </w:p>
    <w:p w14:paraId="3059B99E" w14:textId="7D32AE39" w:rsidR="003C0CAE" w:rsidRDefault="003C0CAE" w:rsidP="009C5B8C">
      <w:pPr>
        <w:spacing w:after="0" w:line="240" w:lineRule="auto"/>
        <w:rPr>
          <w:rFonts w:ascii="Arial" w:hAnsi="Arial" w:cs="Arial"/>
        </w:rPr>
      </w:pPr>
    </w:p>
    <w:p w14:paraId="7CFF627D" w14:textId="1FE6AA39" w:rsidR="004C2BE5" w:rsidRPr="00FD48D0" w:rsidRDefault="004C2BE5" w:rsidP="004C2BE5">
      <w:pPr>
        <w:spacing w:after="120" w:line="240" w:lineRule="auto"/>
        <w:rPr>
          <w:rFonts w:ascii="Arial" w:hAnsi="Arial" w:cs="Arial"/>
          <w:b/>
          <w:bCs/>
        </w:rPr>
      </w:pPr>
      <w:r w:rsidRPr="00FD48D0">
        <w:rPr>
          <w:rFonts w:ascii="Arial" w:hAnsi="Arial" w:cs="Arial"/>
          <w:b/>
          <w:bCs/>
        </w:rPr>
        <w:t>Appendix: PRS/GRS models</w:t>
      </w:r>
    </w:p>
    <w:p w14:paraId="6C725AB5" w14:textId="77777777" w:rsidR="004C2BE5" w:rsidRPr="00FD48D0" w:rsidRDefault="004C2BE5" w:rsidP="004C2BE5">
      <w:pPr>
        <w:pStyle w:val="ListParagraph"/>
        <w:numPr>
          <w:ilvl w:val="0"/>
          <w:numId w:val="21"/>
        </w:numPr>
        <w:spacing w:after="120" w:line="240" w:lineRule="auto"/>
        <w:rPr>
          <w:rFonts w:ascii="Arial" w:hAnsi="Arial" w:cs="Arial"/>
        </w:rPr>
      </w:pPr>
      <w:r w:rsidRPr="00FD48D0">
        <w:rPr>
          <w:rFonts w:ascii="Arial" w:hAnsi="Arial" w:cs="Arial"/>
        </w:rPr>
        <w:t>The PRS/GRS models were developed in two T1D cohorts:</w:t>
      </w:r>
    </w:p>
    <w:p w14:paraId="7A0EB0FC" w14:textId="77777777" w:rsidR="004C2BE5" w:rsidRPr="00FD48D0" w:rsidRDefault="004C2BE5" w:rsidP="004C2BE5">
      <w:pPr>
        <w:spacing w:after="120" w:line="240" w:lineRule="auto"/>
        <w:rPr>
          <w:rFonts w:ascii="Arial" w:hAnsi="Arial" w:cs="Arial"/>
        </w:rPr>
      </w:pPr>
      <w:r w:rsidRPr="00FD48D0">
        <w:rPr>
          <w:rFonts w:ascii="Arial" w:hAnsi="Arial" w:cs="Arial"/>
        </w:rPr>
        <w:t>Cohort A: 3,302 T1D cases (1,739 males, 1,560 females, and 3 cases with undetermined sex</w:t>
      </w:r>
      <w:proofErr w:type="gramStart"/>
      <w:r w:rsidRPr="00FD48D0">
        <w:rPr>
          <w:rFonts w:ascii="Arial" w:hAnsi="Arial" w:cs="Arial"/>
        </w:rPr>
        <w:t>)  and</w:t>
      </w:r>
      <w:proofErr w:type="gramEnd"/>
      <w:r w:rsidRPr="00FD48D0">
        <w:rPr>
          <w:rFonts w:ascii="Arial" w:hAnsi="Arial" w:cs="Arial"/>
        </w:rPr>
        <w:t xml:space="preserve"> 6,181 controls(3,326 males, 2,840 females, and 15 cases with undetermined sex).\</w:t>
      </w:r>
    </w:p>
    <w:p w14:paraId="20A8AEA8" w14:textId="77777777" w:rsidR="004C2BE5" w:rsidRPr="00FD48D0" w:rsidRDefault="004C2BE5" w:rsidP="004C2BE5">
      <w:pPr>
        <w:spacing w:after="120" w:line="240" w:lineRule="auto"/>
        <w:rPr>
          <w:rFonts w:ascii="Arial" w:hAnsi="Arial" w:cs="Arial"/>
        </w:rPr>
      </w:pPr>
      <w:r w:rsidRPr="00FD48D0">
        <w:rPr>
          <w:rFonts w:ascii="Arial" w:hAnsi="Arial" w:cs="Arial"/>
        </w:rPr>
        <w:t>Cohort B: 3,297 T1D cases (1,744 males, 1,549 females, and 4 cases with undetermined sex</w:t>
      </w:r>
      <w:proofErr w:type="gramStart"/>
      <w:r w:rsidRPr="00FD48D0">
        <w:rPr>
          <w:rFonts w:ascii="Arial" w:hAnsi="Arial" w:cs="Arial"/>
        </w:rPr>
        <w:t>)  and</w:t>
      </w:r>
      <w:proofErr w:type="gramEnd"/>
      <w:r w:rsidRPr="00FD48D0">
        <w:rPr>
          <w:rFonts w:ascii="Arial" w:hAnsi="Arial" w:cs="Arial"/>
        </w:rPr>
        <w:t xml:space="preserve"> 6,169 controls (3,339 males, 2,818 females, and 12 cases with undetermined sex).</w:t>
      </w:r>
    </w:p>
    <w:p w14:paraId="0241274C" w14:textId="77777777" w:rsidR="004C2BE5" w:rsidRPr="00FD48D0" w:rsidRDefault="004C2BE5" w:rsidP="004C2BE5">
      <w:pPr>
        <w:pStyle w:val="ListParagraph"/>
        <w:numPr>
          <w:ilvl w:val="0"/>
          <w:numId w:val="21"/>
        </w:numPr>
        <w:spacing w:after="120" w:line="240" w:lineRule="auto"/>
        <w:rPr>
          <w:rFonts w:ascii="Arial" w:hAnsi="Arial" w:cs="Arial"/>
        </w:rPr>
      </w:pPr>
      <w:r w:rsidRPr="00FD48D0">
        <w:rPr>
          <w:rFonts w:ascii="Arial" w:hAnsi="Arial" w:cs="Arial"/>
        </w:rPr>
        <w:t>GRS scoring: The GRS scoring was based on the method developed by Sharp et al</w:t>
      </w:r>
      <w:r w:rsidRPr="00FD48D0">
        <w:rPr>
          <w:rFonts w:ascii="Arial" w:hAnsi="Arial" w:cs="Arial"/>
        </w:rPr>
        <w:fldChar w:fldCharType="begin"/>
      </w:r>
      <w:r w:rsidRPr="00FD48D0">
        <w:rPr>
          <w:rFonts w:ascii="Arial" w:hAnsi="Arial" w:cs="Arial"/>
        </w:rPr>
        <w:instrText xml:space="preserve"> ADDIN EN.CITE &lt;EndNote&gt;&lt;Cite&gt;&lt;Author&gt;Sharp&lt;/Author&gt;&lt;Year&gt;2019&lt;/Year&gt;&lt;RecNum&gt;352&lt;/RecNum&gt;&lt;DisplayText&gt;(2)&lt;/DisplayText&gt;&lt;record&gt;&lt;rec-number&gt;352&lt;/rec-number&gt;&lt;foreign-keys&gt;&lt;key app="EN" db-id="ddzfre5sw9drf4efvzhpw9fd52zdveaex20x" timestamp="1608307259"&gt;352&lt;/key&gt;&lt;/foreign-keys&gt;&lt;ref-type name="Journal Article"&gt;17&lt;/ref-type&gt;&lt;contributors&gt;&lt;authors&gt;&lt;author&gt;Sharp, Seth A&lt;/author&gt;&lt;author&gt;Rich, Stephen S&lt;/author&gt;&lt;author&gt;Wood, Andrew R&lt;/author&gt;&lt;author&gt;Jones, Samuel E&lt;/author&gt;&lt;author&gt;Beaumont, Robin N&lt;/author&gt;&lt;author&gt;Harrison, James W&lt;/author&gt;&lt;author&gt;Schneider, Darius A&lt;/author&gt;&lt;author&gt;Locke, Jonathan M&lt;/author&gt;&lt;author&gt;Tyrrell, Jess&lt;/author&gt;&lt;author&gt;Weedon, Michael N&lt;/author&gt;&lt;/authors&gt;&lt;/contributors&gt;&lt;titles&gt;&lt;title&gt;Development and standardization of an improved type 1 diabetes genetic risk score for use in newborn screening and incident diagnosis&lt;/title&gt;&lt;secondary-title&gt;Diabetes Care&lt;/secondary-title&gt;&lt;/titles&gt;&lt;periodical&gt;&lt;full-title&gt;Diabetes Care&lt;/full-title&gt;&lt;/periodical&gt;&lt;pages&gt;200-207&lt;/pages&gt;&lt;volume&gt;42&lt;/volume&gt;&lt;number&gt;2&lt;/number&gt;&lt;dates&gt;&lt;year&gt;2019&lt;/year&gt;&lt;/dates&gt;&lt;isbn&gt;0149-5992&lt;/isbn&gt;&lt;urls&gt;&lt;/urls&gt;&lt;/record&gt;&lt;/Cite&gt;&lt;/EndNote&gt;</w:instrText>
      </w:r>
      <w:r w:rsidRPr="00FD48D0">
        <w:rPr>
          <w:rFonts w:ascii="Arial" w:hAnsi="Arial" w:cs="Arial"/>
        </w:rPr>
        <w:fldChar w:fldCharType="separate"/>
      </w:r>
      <w:r w:rsidRPr="00FD48D0">
        <w:rPr>
          <w:rFonts w:ascii="Arial" w:hAnsi="Arial" w:cs="Arial"/>
          <w:noProof/>
        </w:rPr>
        <w:t>(2)</w:t>
      </w:r>
      <w:r w:rsidRPr="00FD48D0">
        <w:rPr>
          <w:rFonts w:ascii="Arial" w:hAnsi="Arial" w:cs="Arial"/>
        </w:rPr>
        <w:fldChar w:fldCharType="end"/>
      </w:r>
      <w:r w:rsidRPr="00FD48D0">
        <w:rPr>
          <w:rFonts w:ascii="Arial" w:hAnsi="Arial" w:cs="Arial"/>
        </w:rPr>
        <w:t xml:space="preserve">. To acquire the genotype information of all the T1D-GRS2 SNPs, the </w:t>
      </w:r>
      <w:r w:rsidRPr="00FD48D0">
        <w:rPr>
          <w:rFonts w:ascii="Arial" w:hAnsi="Arial" w:cs="Arial"/>
          <w:i/>
          <w:iCs/>
        </w:rPr>
        <w:t>HLA</w:t>
      </w:r>
      <w:r w:rsidRPr="00FD48D0">
        <w:rPr>
          <w:rFonts w:ascii="Arial" w:hAnsi="Arial" w:cs="Arial"/>
        </w:rPr>
        <w:t xml:space="preserve"> region was additionally imputed by the </w:t>
      </w:r>
      <w:r w:rsidRPr="00FD48D0">
        <w:rPr>
          <w:rFonts w:ascii="Arial" w:hAnsi="Arial" w:cs="Arial"/>
        </w:rPr>
        <w:lastRenderedPageBreak/>
        <w:t>SNP2HLA software</w:t>
      </w:r>
      <w:r w:rsidRPr="00FD48D0">
        <w:rPr>
          <w:rFonts w:ascii="Arial" w:hAnsi="Arial" w:cs="Arial"/>
        </w:rPr>
        <w:fldChar w:fldCharType="begin"/>
      </w:r>
      <w:r w:rsidRPr="00FD48D0">
        <w:rPr>
          <w:rFonts w:ascii="Arial" w:hAnsi="Arial" w:cs="Arial"/>
        </w:rPr>
        <w:instrText xml:space="preserve"> ADDIN EN.CITE &lt;EndNote&gt;&lt;Cite&gt;&lt;Author&gt;Jia&lt;/Author&gt;&lt;Year&gt;2013&lt;/Year&gt;&lt;RecNum&gt;354&lt;/RecNum&gt;&lt;DisplayText&gt;(3)&lt;/DisplayText&gt;&lt;record&gt;&lt;rec-number&gt;354&lt;/rec-number&gt;&lt;foreign-keys&gt;&lt;key app="EN" db-id="ddzfre5sw9drf4efvzhpw9fd52zdveaex20x" timestamp="1608312826"&gt;354&lt;/key&gt;&lt;/foreign-keys&gt;&lt;ref-type name="Journal Article"&gt;17&lt;/ref-type&gt;&lt;contributors&gt;&lt;authors&gt;&lt;author&gt;Jia, Xiaoming&lt;/author&gt;&lt;author&gt;Han, Buhm&lt;/author&gt;&lt;author&gt;Onengut-Gumuscu, Suna&lt;/author&gt;&lt;author&gt;Chen, Wei-Min&lt;/author&gt;&lt;author&gt;Concannon, Patrick J&lt;/author&gt;&lt;author&gt;Rich, Stephen S&lt;/author&gt;&lt;author&gt;Raychaudhuri, Soumya&lt;/author&gt;&lt;author&gt;de Bakker, Paul IW&lt;/author&gt;&lt;/authors&gt;&lt;/contributors&gt;&lt;titles&gt;&lt;title&gt;Imputing amino acid polymorphisms in human leukocyte antigens&lt;/title&gt;&lt;secondary-title&gt;PloS one&lt;/secondary-title&gt;&lt;/titles&gt;&lt;periodical&gt;&lt;full-title&gt;PLoS One&lt;/full-title&gt;&lt;/periodical&gt;&lt;pages&gt;e64683&lt;/pages&gt;&lt;volume&gt;8&lt;/volume&gt;&lt;number&gt;6&lt;/number&gt;&lt;dates&gt;&lt;year&gt;2013&lt;/year&gt;&lt;/dates&gt;&lt;isbn&gt;1932-6203&lt;/isbn&gt;&lt;urls&gt;&lt;/urls&gt;&lt;/record&gt;&lt;/Cite&gt;&lt;/EndNote&gt;</w:instrText>
      </w:r>
      <w:r w:rsidRPr="00FD48D0">
        <w:rPr>
          <w:rFonts w:ascii="Arial" w:hAnsi="Arial" w:cs="Arial"/>
        </w:rPr>
        <w:fldChar w:fldCharType="separate"/>
      </w:r>
      <w:r w:rsidRPr="00FD48D0">
        <w:rPr>
          <w:rFonts w:ascii="Arial" w:hAnsi="Arial" w:cs="Arial"/>
          <w:noProof/>
        </w:rPr>
        <w:t>(3)</w:t>
      </w:r>
      <w:r w:rsidRPr="00FD48D0">
        <w:rPr>
          <w:rFonts w:ascii="Arial" w:hAnsi="Arial" w:cs="Arial"/>
        </w:rPr>
        <w:fldChar w:fldCharType="end"/>
      </w:r>
      <w:r w:rsidRPr="00FD48D0">
        <w:rPr>
          <w:rFonts w:ascii="Arial" w:hAnsi="Arial" w:cs="Arial"/>
        </w:rPr>
        <w:t xml:space="preserve">. The overlapped SNPs covered across the imputation methods were highly consistent. Consequently, the GRS scores were assessed for its predictive performance by the Area </w:t>
      </w:r>
      <w:proofErr w:type="gramStart"/>
      <w:r w:rsidRPr="00FD48D0">
        <w:rPr>
          <w:rFonts w:ascii="Arial" w:hAnsi="Arial" w:cs="Arial"/>
        </w:rPr>
        <w:t>Under</w:t>
      </w:r>
      <w:proofErr w:type="gramEnd"/>
      <w:r w:rsidRPr="00FD48D0">
        <w:rPr>
          <w:rFonts w:ascii="Arial" w:hAnsi="Arial" w:cs="Arial"/>
        </w:rPr>
        <w:t xml:space="preserve"> the ROC Curve (AUC).</w:t>
      </w:r>
    </w:p>
    <w:p w14:paraId="188D2DEF" w14:textId="77777777" w:rsidR="004C2BE5" w:rsidRPr="00FD48D0" w:rsidRDefault="004C2BE5" w:rsidP="004C2BE5">
      <w:pPr>
        <w:pStyle w:val="ListParagraph"/>
        <w:numPr>
          <w:ilvl w:val="0"/>
          <w:numId w:val="21"/>
        </w:numPr>
        <w:spacing w:after="120" w:line="240" w:lineRule="auto"/>
        <w:rPr>
          <w:rFonts w:ascii="Arial" w:hAnsi="Arial" w:cs="Arial"/>
        </w:rPr>
      </w:pPr>
      <w:bookmarkStart w:id="1" w:name="_Hlk48122414"/>
      <w:r w:rsidRPr="00FD48D0">
        <w:rPr>
          <w:rFonts w:ascii="Arial" w:hAnsi="Arial" w:cs="Arial"/>
        </w:rPr>
        <w:t>Polygenic risk scores (PRS): PRSs were calculated using the Polygenic Risk Score software (PRSice-2)</w:t>
      </w:r>
      <w:r w:rsidRPr="00FD48D0">
        <w:rPr>
          <w:rFonts w:ascii="Arial" w:hAnsi="Arial" w:cs="Arial"/>
        </w:rPr>
        <w:fldChar w:fldCharType="begin"/>
      </w:r>
      <w:r w:rsidRPr="00FD48D0">
        <w:rPr>
          <w:rFonts w:ascii="Arial" w:hAnsi="Arial" w:cs="Arial"/>
        </w:rPr>
        <w:instrText xml:space="preserve"> ADDIN EN.CITE &lt;EndNote&gt;&lt;Cite&gt;&lt;Author&gt;Choi&lt;/Author&gt;&lt;Year&gt;2019&lt;/Year&gt;&lt;RecNum&gt;243&lt;/RecNum&gt;&lt;DisplayText&gt;(4)&lt;/DisplayText&gt;&lt;record&gt;&lt;rec-number&gt;243&lt;/rec-number&gt;&lt;foreign-keys&gt;&lt;key app="EN" db-id="ddzfre5sw9drf4efvzhpw9fd52zdveaex20x" timestamp="1596562516"&gt;243&lt;/key&gt;&lt;/foreign-keys&gt;&lt;ref-type name="Journal Article"&gt;17&lt;/ref-type&gt;&lt;contributors&gt;&lt;authors&gt;&lt;author&gt;Choi, Shing Wan&lt;/author&gt;&lt;author&gt;O&amp;apos;Reilly, Paul F&lt;/author&gt;&lt;/authors&gt;&lt;/contributors&gt;&lt;titles&gt;&lt;title&gt;PRSice-2: Polygenic Risk Score software for biobank-scale data&lt;/title&gt;&lt;secondary-title&gt;GigaScience&lt;/secondary-title&gt;&lt;/titles&gt;&lt;periodical&gt;&lt;full-title&gt;GigaScience&lt;/full-title&gt;&lt;/periodical&gt;&lt;volume&gt;8&lt;/volume&gt;&lt;number&gt;7&lt;/number&gt;&lt;dates&gt;&lt;year&gt;2019&lt;/year&gt;&lt;/dates&gt;&lt;isbn&gt;2047-217X&lt;/isbn&gt;&lt;urls&gt;&lt;related-urls&gt;&lt;url&gt;https://doi.org/10.1093/gigascience/giz082&lt;/url&gt;&lt;/related-urls&gt;&lt;/urls&gt;&lt;custom1&gt;giz082&lt;/custom1&gt;&lt;electronic-resource-num&gt;10.1093/gigascience/giz082&lt;/electronic-resource-num&gt;&lt;access-date&gt;8/4/2020&lt;/access-date&gt;&lt;/record&gt;&lt;/Cite&gt;&lt;/EndNote&gt;</w:instrText>
      </w:r>
      <w:r w:rsidRPr="00FD48D0">
        <w:rPr>
          <w:rFonts w:ascii="Arial" w:hAnsi="Arial" w:cs="Arial"/>
        </w:rPr>
        <w:fldChar w:fldCharType="separate"/>
      </w:r>
      <w:r w:rsidRPr="00FD48D0">
        <w:rPr>
          <w:rFonts w:ascii="Arial" w:hAnsi="Arial" w:cs="Arial"/>
          <w:noProof/>
        </w:rPr>
        <w:t>(4)</w:t>
      </w:r>
      <w:r w:rsidRPr="00FD48D0">
        <w:rPr>
          <w:rFonts w:ascii="Arial" w:hAnsi="Arial" w:cs="Arial"/>
        </w:rPr>
        <w:fldChar w:fldCharType="end"/>
      </w:r>
      <w:r w:rsidRPr="00FD48D0">
        <w:rPr>
          <w:rFonts w:ascii="Arial" w:hAnsi="Arial" w:cs="Arial"/>
        </w:rPr>
        <w:t>. The performance of a series of cutoff of T1D association P-values (including 10</w:t>
      </w:r>
      <w:r w:rsidRPr="00FD48D0">
        <w:rPr>
          <w:rFonts w:ascii="Arial" w:hAnsi="Arial" w:cs="Arial"/>
          <w:vertAlign w:val="superscript"/>
        </w:rPr>
        <w:t>-10</w:t>
      </w:r>
      <w:r w:rsidRPr="00FD48D0">
        <w:rPr>
          <w:rFonts w:ascii="Arial" w:hAnsi="Arial" w:cs="Arial"/>
        </w:rPr>
        <w:t>, 10</w:t>
      </w:r>
      <w:r w:rsidRPr="00FD48D0">
        <w:rPr>
          <w:rFonts w:ascii="Arial" w:hAnsi="Arial" w:cs="Arial"/>
          <w:vertAlign w:val="superscript"/>
        </w:rPr>
        <w:t>-</w:t>
      </w:r>
      <w:proofErr w:type="gramStart"/>
      <w:r w:rsidRPr="00FD48D0">
        <w:rPr>
          <w:rFonts w:ascii="Arial" w:hAnsi="Arial" w:cs="Arial"/>
          <w:vertAlign w:val="superscript"/>
        </w:rPr>
        <w:t xml:space="preserve">9 </w:t>
      </w:r>
      <w:r w:rsidRPr="00FD48D0">
        <w:rPr>
          <w:rFonts w:ascii="Arial" w:hAnsi="Arial" w:cs="Arial"/>
        </w:rPr>
        <w:t>,</w:t>
      </w:r>
      <w:proofErr w:type="gramEnd"/>
      <w:r w:rsidRPr="00FD48D0">
        <w:rPr>
          <w:rFonts w:ascii="Arial" w:hAnsi="Arial" w:cs="Arial"/>
        </w:rPr>
        <w:t xml:space="preserve"> 10</w:t>
      </w:r>
      <w:r w:rsidRPr="00FD48D0">
        <w:rPr>
          <w:rFonts w:ascii="Arial" w:hAnsi="Arial" w:cs="Arial"/>
          <w:vertAlign w:val="superscript"/>
        </w:rPr>
        <w:t>-8</w:t>
      </w:r>
      <w:r w:rsidRPr="00FD48D0">
        <w:rPr>
          <w:rFonts w:ascii="Arial" w:hAnsi="Arial" w:cs="Arial"/>
        </w:rPr>
        <w:t>, 10</w:t>
      </w:r>
      <w:r w:rsidRPr="00FD48D0">
        <w:rPr>
          <w:rFonts w:ascii="Arial" w:hAnsi="Arial" w:cs="Arial"/>
          <w:vertAlign w:val="superscript"/>
        </w:rPr>
        <w:t>-7</w:t>
      </w:r>
      <w:r w:rsidRPr="00FD48D0">
        <w:rPr>
          <w:rFonts w:ascii="Arial" w:hAnsi="Arial" w:cs="Arial"/>
        </w:rPr>
        <w:t>, 10</w:t>
      </w:r>
      <w:r w:rsidRPr="00FD48D0">
        <w:rPr>
          <w:rFonts w:ascii="Arial" w:hAnsi="Arial" w:cs="Arial"/>
          <w:vertAlign w:val="superscript"/>
        </w:rPr>
        <w:t>-6</w:t>
      </w:r>
      <w:r w:rsidRPr="00FD48D0">
        <w:rPr>
          <w:rFonts w:ascii="Arial" w:hAnsi="Arial" w:cs="Arial"/>
        </w:rPr>
        <w:t>, 10</w:t>
      </w:r>
      <w:r w:rsidRPr="00FD48D0">
        <w:rPr>
          <w:rFonts w:ascii="Arial" w:hAnsi="Arial" w:cs="Arial"/>
          <w:vertAlign w:val="superscript"/>
        </w:rPr>
        <w:t>-5</w:t>
      </w:r>
      <w:r w:rsidRPr="00FD48D0">
        <w:rPr>
          <w:rFonts w:ascii="Arial" w:hAnsi="Arial" w:cs="Arial"/>
        </w:rPr>
        <w:t>, 10</w:t>
      </w:r>
      <w:r w:rsidRPr="00FD48D0">
        <w:rPr>
          <w:rFonts w:ascii="Arial" w:hAnsi="Arial" w:cs="Arial"/>
          <w:vertAlign w:val="superscript"/>
        </w:rPr>
        <w:t>-4</w:t>
      </w:r>
      <w:r w:rsidRPr="00FD48D0">
        <w:rPr>
          <w:rFonts w:ascii="Arial" w:hAnsi="Arial" w:cs="Arial"/>
        </w:rPr>
        <w:t>, 0.001, 0.01, 0.05, 0.1, 0.2, and 1) for selection of SNP markers was assessed by the Area Under the ROC Curve (AUC). The P-value cutoff with the largest AUC was adopted.</w:t>
      </w:r>
      <w:bookmarkEnd w:id="1"/>
      <w:r w:rsidRPr="00FD48D0">
        <w:rPr>
          <w:rFonts w:ascii="Arial" w:hAnsi="Arial" w:cs="Arial"/>
        </w:rPr>
        <w:t xml:space="preserve"> The best AUC (0.8607) is seen at the cutoff of P-value≤1E-05, which suggests that stricter cutoff may cause the missing of informative SNPs, while looser may introduce noise by including SNPs with spurious T1D association. Based on the SNP markers with T1D association P-value≤1E-05, a PRS score was acquired for each individual in the independent test cohort. </w:t>
      </w:r>
    </w:p>
    <w:p w14:paraId="7B27DA74" w14:textId="77777777" w:rsidR="004C2BE5" w:rsidRPr="00FD48D0" w:rsidRDefault="004C2BE5" w:rsidP="004C2BE5">
      <w:pPr>
        <w:pStyle w:val="ListParagraph"/>
        <w:numPr>
          <w:ilvl w:val="0"/>
          <w:numId w:val="21"/>
        </w:numPr>
        <w:spacing w:after="120" w:line="240" w:lineRule="auto"/>
        <w:rPr>
          <w:rFonts w:ascii="Arial" w:hAnsi="Arial" w:cs="Arial"/>
        </w:rPr>
      </w:pPr>
      <w:r w:rsidRPr="00FD48D0">
        <w:rPr>
          <w:rFonts w:ascii="Arial" w:hAnsi="Arial" w:cs="Arial"/>
        </w:rPr>
        <w:t>Assessment of GRS/PRS:</w:t>
      </w:r>
    </w:p>
    <w:p w14:paraId="42F48090" w14:textId="77777777" w:rsidR="004C2BE5" w:rsidRPr="00FD48D0" w:rsidRDefault="004C2BE5" w:rsidP="004C2BE5">
      <w:pPr>
        <w:spacing w:after="120" w:line="240" w:lineRule="auto"/>
        <w:rPr>
          <w:rFonts w:ascii="Arial" w:hAnsi="Arial" w:cs="Arial"/>
        </w:rPr>
      </w:pPr>
      <w:r w:rsidRPr="00FD48D0">
        <w:rPr>
          <w:rFonts w:ascii="Arial" w:hAnsi="Arial" w:cs="Arial"/>
        </w:rPr>
        <w:t>GRS/PRS associated with T1D independently.</w:t>
      </w:r>
    </w:p>
    <w:p w14:paraId="38F4E7DC" w14:textId="77777777" w:rsidR="004C2BE5" w:rsidRPr="00FD48D0" w:rsidRDefault="004C2BE5" w:rsidP="004C2BE5">
      <w:pPr>
        <w:spacing w:after="120" w:line="240" w:lineRule="auto"/>
        <w:rPr>
          <w:rFonts w:ascii="Arial" w:hAnsi="Arial" w:cs="Arial"/>
          <w:b/>
          <w:bCs/>
        </w:rPr>
      </w:pPr>
      <w:r w:rsidRPr="00FD48D0">
        <w:rPr>
          <w:rFonts w:ascii="Arial" w:hAnsi="Arial" w:cs="Arial"/>
          <w:b/>
          <w:bCs/>
        </w:rPr>
        <w:t>Standardized Coefficients (Beta) with T1D</w:t>
      </w:r>
    </w:p>
    <w:tbl>
      <w:tblPr>
        <w:tblStyle w:val="TableGrid"/>
        <w:tblW w:w="0" w:type="auto"/>
        <w:tblLook w:val="04A0" w:firstRow="1" w:lastRow="0" w:firstColumn="1" w:lastColumn="0" w:noHBand="0" w:noVBand="1"/>
      </w:tblPr>
      <w:tblGrid>
        <w:gridCol w:w="960"/>
        <w:gridCol w:w="1024"/>
        <w:gridCol w:w="1024"/>
      </w:tblGrid>
      <w:tr w:rsidR="004C2BE5" w:rsidRPr="00FD48D0" w14:paraId="7FB5C28A" w14:textId="77777777" w:rsidTr="0059022C">
        <w:trPr>
          <w:trHeight w:val="300"/>
        </w:trPr>
        <w:tc>
          <w:tcPr>
            <w:tcW w:w="960" w:type="dxa"/>
            <w:noWrap/>
            <w:hideMark/>
          </w:tcPr>
          <w:p w14:paraId="266FAAB4" w14:textId="77777777" w:rsidR="004C2BE5" w:rsidRPr="00FD48D0" w:rsidRDefault="004C2BE5" w:rsidP="0059022C">
            <w:pPr>
              <w:spacing w:after="120"/>
              <w:rPr>
                <w:rFonts w:ascii="Arial" w:hAnsi="Arial" w:cs="Arial"/>
              </w:rPr>
            </w:pPr>
            <w:r w:rsidRPr="00FD48D0">
              <w:rPr>
                <w:rFonts w:ascii="Arial" w:hAnsi="Arial" w:cs="Arial"/>
              </w:rPr>
              <w:t>T1D</w:t>
            </w:r>
          </w:p>
        </w:tc>
        <w:tc>
          <w:tcPr>
            <w:tcW w:w="960" w:type="dxa"/>
            <w:noWrap/>
            <w:hideMark/>
          </w:tcPr>
          <w:p w14:paraId="24F495AE" w14:textId="77777777" w:rsidR="004C2BE5" w:rsidRPr="00FD48D0" w:rsidRDefault="004C2BE5" w:rsidP="0059022C">
            <w:pPr>
              <w:spacing w:after="120"/>
              <w:rPr>
                <w:rFonts w:ascii="Arial" w:hAnsi="Arial" w:cs="Arial"/>
              </w:rPr>
            </w:pPr>
            <w:proofErr w:type="spellStart"/>
            <w:r w:rsidRPr="00FD48D0">
              <w:rPr>
                <w:rFonts w:ascii="Arial" w:hAnsi="Arial" w:cs="Arial"/>
              </w:rPr>
              <w:t>CohortA</w:t>
            </w:r>
            <w:proofErr w:type="spellEnd"/>
          </w:p>
        </w:tc>
        <w:tc>
          <w:tcPr>
            <w:tcW w:w="960" w:type="dxa"/>
            <w:noWrap/>
            <w:hideMark/>
          </w:tcPr>
          <w:p w14:paraId="561F0954" w14:textId="77777777" w:rsidR="004C2BE5" w:rsidRPr="00FD48D0" w:rsidRDefault="004C2BE5" w:rsidP="0059022C">
            <w:pPr>
              <w:spacing w:after="120"/>
              <w:rPr>
                <w:rFonts w:ascii="Arial" w:hAnsi="Arial" w:cs="Arial"/>
              </w:rPr>
            </w:pPr>
            <w:proofErr w:type="spellStart"/>
            <w:r w:rsidRPr="00FD48D0">
              <w:rPr>
                <w:rFonts w:ascii="Arial" w:hAnsi="Arial" w:cs="Arial"/>
              </w:rPr>
              <w:t>CohortB</w:t>
            </w:r>
            <w:proofErr w:type="spellEnd"/>
          </w:p>
        </w:tc>
      </w:tr>
      <w:tr w:rsidR="004C2BE5" w:rsidRPr="00FD48D0" w14:paraId="4BA8BF96" w14:textId="77777777" w:rsidTr="0059022C">
        <w:trPr>
          <w:trHeight w:val="300"/>
        </w:trPr>
        <w:tc>
          <w:tcPr>
            <w:tcW w:w="960" w:type="dxa"/>
            <w:noWrap/>
            <w:hideMark/>
          </w:tcPr>
          <w:p w14:paraId="7AF51EF7" w14:textId="77777777" w:rsidR="004C2BE5" w:rsidRPr="00FD48D0" w:rsidRDefault="004C2BE5" w:rsidP="0059022C">
            <w:pPr>
              <w:spacing w:after="120"/>
              <w:rPr>
                <w:rFonts w:ascii="Arial" w:hAnsi="Arial" w:cs="Arial"/>
              </w:rPr>
            </w:pPr>
            <w:r w:rsidRPr="00FD48D0">
              <w:rPr>
                <w:rFonts w:ascii="Arial" w:hAnsi="Arial" w:cs="Arial"/>
              </w:rPr>
              <w:t>GRS</w:t>
            </w:r>
          </w:p>
        </w:tc>
        <w:tc>
          <w:tcPr>
            <w:tcW w:w="960" w:type="dxa"/>
            <w:noWrap/>
            <w:hideMark/>
          </w:tcPr>
          <w:p w14:paraId="28B1ED3B" w14:textId="77777777" w:rsidR="004C2BE5" w:rsidRPr="00FD48D0" w:rsidRDefault="004C2BE5" w:rsidP="0059022C">
            <w:pPr>
              <w:spacing w:after="120"/>
              <w:rPr>
                <w:rFonts w:ascii="Arial" w:hAnsi="Arial" w:cs="Arial"/>
              </w:rPr>
            </w:pPr>
            <w:r w:rsidRPr="00FD48D0">
              <w:rPr>
                <w:rFonts w:ascii="Arial" w:hAnsi="Arial" w:cs="Arial"/>
              </w:rPr>
              <w:t>0.501</w:t>
            </w:r>
          </w:p>
        </w:tc>
        <w:tc>
          <w:tcPr>
            <w:tcW w:w="960" w:type="dxa"/>
            <w:noWrap/>
            <w:hideMark/>
          </w:tcPr>
          <w:p w14:paraId="4CE6C1E1" w14:textId="77777777" w:rsidR="004C2BE5" w:rsidRPr="00FD48D0" w:rsidRDefault="004C2BE5" w:rsidP="0059022C">
            <w:pPr>
              <w:spacing w:after="120"/>
              <w:rPr>
                <w:rFonts w:ascii="Arial" w:hAnsi="Arial" w:cs="Arial"/>
              </w:rPr>
            </w:pPr>
            <w:r w:rsidRPr="00FD48D0">
              <w:rPr>
                <w:rFonts w:ascii="Arial" w:hAnsi="Arial" w:cs="Arial"/>
              </w:rPr>
              <w:t>0.5</w:t>
            </w:r>
          </w:p>
        </w:tc>
      </w:tr>
      <w:tr w:rsidR="004C2BE5" w:rsidRPr="00FD48D0" w14:paraId="20675A4A" w14:textId="77777777" w:rsidTr="0059022C">
        <w:trPr>
          <w:trHeight w:val="300"/>
        </w:trPr>
        <w:tc>
          <w:tcPr>
            <w:tcW w:w="960" w:type="dxa"/>
            <w:noWrap/>
            <w:hideMark/>
          </w:tcPr>
          <w:p w14:paraId="23CAB815" w14:textId="77777777" w:rsidR="004C2BE5" w:rsidRPr="00FD48D0" w:rsidRDefault="004C2BE5" w:rsidP="0059022C">
            <w:pPr>
              <w:spacing w:after="120"/>
              <w:rPr>
                <w:rFonts w:ascii="Arial" w:hAnsi="Arial" w:cs="Arial"/>
              </w:rPr>
            </w:pPr>
            <w:r w:rsidRPr="00FD48D0">
              <w:rPr>
                <w:rFonts w:ascii="Arial" w:hAnsi="Arial" w:cs="Arial"/>
              </w:rPr>
              <w:t>PRS</w:t>
            </w:r>
          </w:p>
        </w:tc>
        <w:tc>
          <w:tcPr>
            <w:tcW w:w="960" w:type="dxa"/>
            <w:noWrap/>
            <w:hideMark/>
          </w:tcPr>
          <w:p w14:paraId="3304C842" w14:textId="77777777" w:rsidR="004C2BE5" w:rsidRPr="00FD48D0" w:rsidRDefault="004C2BE5" w:rsidP="0059022C">
            <w:pPr>
              <w:spacing w:after="120"/>
              <w:rPr>
                <w:rFonts w:ascii="Arial" w:hAnsi="Arial" w:cs="Arial"/>
              </w:rPr>
            </w:pPr>
            <w:r w:rsidRPr="00FD48D0">
              <w:rPr>
                <w:rFonts w:ascii="Arial" w:hAnsi="Arial" w:cs="Arial"/>
              </w:rPr>
              <w:t>0.283</w:t>
            </w:r>
          </w:p>
        </w:tc>
        <w:tc>
          <w:tcPr>
            <w:tcW w:w="960" w:type="dxa"/>
            <w:noWrap/>
            <w:hideMark/>
          </w:tcPr>
          <w:p w14:paraId="59836284" w14:textId="77777777" w:rsidR="004C2BE5" w:rsidRPr="00FD48D0" w:rsidRDefault="004C2BE5" w:rsidP="0059022C">
            <w:pPr>
              <w:spacing w:after="120"/>
              <w:rPr>
                <w:rFonts w:ascii="Arial" w:hAnsi="Arial" w:cs="Arial"/>
              </w:rPr>
            </w:pPr>
            <w:r w:rsidRPr="00FD48D0">
              <w:rPr>
                <w:rFonts w:ascii="Arial" w:hAnsi="Arial" w:cs="Arial"/>
              </w:rPr>
              <w:t>0.28</w:t>
            </w:r>
          </w:p>
        </w:tc>
      </w:tr>
    </w:tbl>
    <w:p w14:paraId="37FF97C8" w14:textId="77777777" w:rsidR="004C2BE5" w:rsidRPr="00FD48D0" w:rsidRDefault="004C2BE5" w:rsidP="004C2BE5">
      <w:pPr>
        <w:spacing w:after="120" w:line="240" w:lineRule="auto"/>
        <w:rPr>
          <w:rFonts w:ascii="Arial" w:hAnsi="Arial" w:cs="Arial"/>
        </w:rPr>
      </w:pPr>
    </w:p>
    <w:p w14:paraId="636EB7C2" w14:textId="77777777" w:rsidR="004C2BE5" w:rsidRPr="00FD48D0" w:rsidRDefault="004C2BE5" w:rsidP="004C2BE5">
      <w:pPr>
        <w:spacing w:after="120" w:line="240" w:lineRule="auto"/>
        <w:rPr>
          <w:rFonts w:ascii="Arial" w:hAnsi="Arial" w:cs="Arial"/>
          <w:i/>
          <w:iCs/>
          <w:u w:val="single"/>
        </w:rPr>
      </w:pPr>
      <w:r w:rsidRPr="00FD48D0">
        <w:rPr>
          <w:rFonts w:ascii="Arial" w:hAnsi="Arial" w:cs="Arial"/>
          <w:i/>
          <w:iCs/>
          <w:u w:val="single"/>
        </w:rPr>
        <w:t>Cohort A:</w:t>
      </w:r>
    </w:p>
    <w:p w14:paraId="298C8118" w14:textId="77777777" w:rsidR="004C2BE5" w:rsidRPr="00FD48D0" w:rsidRDefault="004C2BE5" w:rsidP="004C2BE5">
      <w:pPr>
        <w:spacing w:after="120" w:line="240" w:lineRule="auto"/>
        <w:rPr>
          <w:rFonts w:ascii="Arial" w:hAnsi="Arial" w:cs="Arial"/>
        </w:rPr>
      </w:pPr>
      <w:r w:rsidRPr="00FD48D0">
        <w:rPr>
          <w:rFonts w:ascii="Arial" w:hAnsi="Arial" w:cs="Arial"/>
        </w:rPr>
        <w:t>GRS vs PRS: Pearson Correlation 0.331</w:t>
      </w:r>
    </w:p>
    <w:p w14:paraId="0E41339D" w14:textId="77777777" w:rsidR="004C2BE5" w:rsidRPr="00FD48D0" w:rsidRDefault="004C2BE5" w:rsidP="004C2BE5">
      <w:pPr>
        <w:spacing w:after="120" w:line="240" w:lineRule="auto"/>
        <w:rPr>
          <w:rFonts w:ascii="Arial" w:hAnsi="Arial" w:cs="Arial"/>
        </w:rPr>
      </w:pPr>
      <w:r w:rsidRPr="00FD48D0">
        <w:rPr>
          <w:rFonts w:ascii="Arial" w:hAnsi="Arial" w:cs="Arial"/>
        </w:rPr>
        <w:t>GRS with T1D: Pearson Correlation 0.595 // ROC AUC= 0.8699188404001987</w:t>
      </w:r>
    </w:p>
    <w:p w14:paraId="7665C2DB" w14:textId="77777777" w:rsidR="004C2BE5" w:rsidRPr="00FD48D0" w:rsidRDefault="004C2BE5" w:rsidP="004C2BE5">
      <w:pPr>
        <w:spacing w:after="120" w:line="240" w:lineRule="auto"/>
        <w:rPr>
          <w:rFonts w:ascii="Arial" w:hAnsi="Arial" w:cs="Arial"/>
        </w:rPr>
      </w:pPr>
      <w:r w:rsidRPr="00FD48D0">
        <w:rPr>
          <w:rFonts w:ascii="Arial" w:hAnsi="Arial" w:cs="Arial"/>
        </w:rPr>
        <w:t>PRS with T1D: Pearson Correlation 0.449 // ROC AUC= 0.8646341374982104</w:t>
      </w:r>
    </w:p>
    <w:p w14:paraId="38F14DEF" w14:textId="77777777" w:rsidR="004C2BE5" w:rsidRPr="00FD48D0" w:rsidRDefault="004C2BE5" w:rsidP="004C2BE5">
      <w:pPr>
        <w:spacing w:after="120" w:line="240" w:lineRule="auto"/>
        <w:rPr>
          <w:rFonts w:ascii="Arial" w:hAnsi="Arial" w:cs="Arial"/>
        </w:rPr>
      </w:pPr>
      <w:r w:rsidRPr="00FD48D0">
        <w:rPr>
          <w:rFonts w:ascii="Arial" w:hAnsi="Arial" w:cs="Arial"/>
        </w:rPr>
        <w:t>Linear regression model of both GRS and PRS with T1D: Pearson Correlation 0.671 (better than GRS alone) // ROC AUC= 0.90290338958087</w:t>
      </w:r>
    </w:p>
    <w:p w14:paraId="1C47A5C4" w14:textId="77777777" w:rsidR="004C2BE5" w:rsidRPr="00FD48D0" w:rsidRDefault="004C2BE5" w:rsidP="004C2BE5">
      <w:pPr>
        <w:spacing w:after="120" w:line="240" w:lineRule="auto"/>
        <w:rPr>
          <w:rFonts w:ascii="Arial" w:hAnsi="Arial" w:cs="Arial"/>
          <w:i/>
          <w:iCs/>
          <w:u w:val="single"/>
        </w:rPr>
      </w:pPr>
      <w:r w:rsidRPr="00FD48D0">
        <w:rPr>
          <w:rFonts w:ascii="Arial" w:hAnsi="Arial" w:cs="Arial"/>
          <w:i/>
          <w:iCs/>
          <w:u w:val="single"/>
        </w:rPr>
        <w:t>Cohort B:</w:t>
      </w:r>
    </w:p>
    <w:p w14:paraId="03AEFED0" w14:textId="77777777" w:rsidR="004C2BE5" w:rsidRPr="00FD48D0" w:rsidRDefault="004C2BE5" w:rsidP="004C2BE5">
      <w:pPr>
        <w:spacing w:after="120" w:line="240" w:lineRule="auto"/>
        <w:rPr>
          <w:rFonts w:ascii="Arial" w:hAnsi="Arial" w:cs="Arial"/>
        </w:rPr>
      </w:pPr>
      <w:r w:rsidRPr="00FD48D0">
        <w:rPr>
          <w:rFonts w:ascii="Arial" w:hAnsi="Arial" w:cs="Arial"/>
        </w:rPr>
        <w:t>GRS vs PRS: Pearson Correlation 0.305</w:t>
      </w:r>
    </w:p>
    <w:p w14:paraId="6B722449" w14:textId="77777777" w:rsidR="004C2BE5" w:rsidRPr="00FD48D0" w:rsidRDefault="004C2BE5" w:rsidP="004C2BE5">
      <w:pPr>
        <w:spacing w:after="120" w:line="240" w:lineRule="auto"/>
        <w:rPr>
          <w:rFonts w:ascii="Arial" w:hAnsi="Arial" w:cs="Arial"/>
        </w:rPr>
      </w:pPr>
      <w:r w:rsidRPr="00FD48D0">
        <w:rPr>
          <w:rFonts w:ascii="Arial" w:hAnsi="Arial" w:cs="Arial"/>
        </w:rPr>
        <w:t>GRS with T1D: Pearson Correlation 0.585 // ROC AUC= 0.8699188404001987</w:t>
      </w:r>
    </w:p>
    <w:p w14:paraId="14E7039A" w14:textId="77777777" w:rsidR="004C2BE5" w:rsidRPr="00FD48D0" w:rsidRDefault="004C2BE5" w:rsidP="004C2BE5">
      <w:pPr>
        <w:spacing w:after="120" w:line="240" w:lineRule="auto"/>
        <w:rPr>
          <w:rFonts w:ascii="Arial" w:hAnsi="Arial" w:cs="Arial"/>
        </w:rPr>
      </w:pPr>
      <w:r w:rsidRPr="00FD48D0">
        <w:rPr>
          <w:rFonts w:ascii="Arial" w:hAnsi="Arial" w:cs="Arial"/>
        </w:rPr>
        <w:t>PRS with T1D: Pearson Correlation 0.432 // ROC AUC= 0.8646341374982104</w:t>
      </w:r>
    </w:p>
    <w:p w14:paraId="7D81E0D1" w14:textId="77777777" w:rsidR="004C2BE5" w:rsidRPr="00FD48D0" w:rsidRDefault="004C2BE5" w:rsidP="004C2BE5">
      <w:pPr>
        <w:spacing w:after="120" w:line="240" w:lineRule="auto"/>
        <w:rPr>
          <w:rFonts w:ascii="Arial" w:hAnsi="Arial" w:cs="Arial"/>
        </w:rPr>
      </w:pPr>
      <w:r w:rsidRPr="00FD48D0">
        <w:rPr>
          <w:rFonts w:ascii="Arial" w:hAnsi="Arial" w:cs="Arial"/>
        </w:rPr>
        <w:t>Linear regression model of both GRS and PRS with T1D: Pearson Correlation 0.658 (better than GRS alone) // ROC AUC= 0.902903389580876</w:t>
      </w:r>
    </w:p>
    <w:p w14:paraId="7A9AA2C4" w14:textId="77777777" w:rsidR="004C2BE5" w:rsidRPr="00FD48D0" w:rsidRDefault="004C2BE5" w:rsidP="004C2BE5">
      <w:pPr>
        <w:spacing w:after="120" w:line="240" w:lineRule="auto"/>
        <w:rPr>
          <w:rFonts w:ascii="Arial" w:hAnsi="Arial" w:cs="Arial"/>
        </w:rPr>
      </w:pPr>
    </w:p>
    <w:p w14:paraId="19632853" w14:textId="77777777" w:rsidR="004C2BE5" w:rsidRPr="00FD48D0" w:rsidRDefault="004C2BE5" w:rsidP="004C2BE5">
      <w:pPr>
        <w:spacing w:after="120" w:line="240" w:lineRule="auto"/>
        <w:rPr>
          <w:rFonts w:ascii="Arial" w:hAnsi="Arial" w:cs="Arial"/>
        </w:rPr>
      </w:pPr>
      <w:r w:rsidRPr="00FD48D0">
        <w:rPr>
          <w:rFonts w:ascii="Arial" w:hAnsi="Arial" w:cs="Arial"/>
          <w:b/>
          <w:bCs/>
        </w:rPr>
        <w:t>Issue/limitation:</w:t>
      </w:r>
      <w:r w:rsidRPr="00FD48D0">
        <w:rPr>
          <w:rFonts w:ascii="Arial" w:hAnsi="Arial" w:cs="Arial"/>
        </w:rPr>
        <w:t xml:space="preserve"> Models based on European population. </w:t>
      </w:r>
    </w:p>
    <w:p w14:paraId="0C0EBA05" w14:textId="77777777" w:rsidR="004C2BE5" w:rsidRPr="00FD48D0" w:rsidRDefault="004C2BE5" w:rsidP="004C2BE5">
      <w:pPr>
        <w:spacing w:after="120" w:line="240" w:lineRule="auto"/>
        <w:rPr>
          <w:rFonts w:ascii="Arial" w:hAnsi="Arial" w:cs="Arial"/>
        </w:rPr>
      </w:pPr>
    </w:p>
    <w:p w14:paraId="2C02F855" w14:textId="77777777" w:rsidR="004C2BE5" w:rsidRPr="00FD48D0" w:rsidRDefault="004C2BE5" w:rsidP="004C2BE5">
      <w:pPr>
        <w:spacing w:after="120" w:line="240" w:lineRule="auto"/>
        <w:rPr>
          <w:rFonts w:ascii="Arial" w:hAnsi="Arial" w:cs="Arial"/>
          <w:b/>
          <w:bCs/>
        </w:rPr>
      </w:pPr>
      <w:r w:rsidRPr="00FD48D0">
        <w:rPr>
          <w:rFonts w:ascii="Arial" w:hAnsi="Arial" w:cs="Arial"/>
          <w:b/>
          <w:bCs/>
        </w:rPr>
        <w:t>References:</w:t>
      </w:r>
    </w:p>
    <w:p w14:paraId="08FD964C" w14:textId="77777777" w:rsidR="004C2BE5" w:rsidRPr="00FD48D0" w:rsidRDefault="004C2BE5" w:rsidP="004C2BE5">
      <w:pPr>
        <w:pStyle w:val="EndNoteBibliography"/>
        <w:spacing w:after="120"/>
        <w:rPr>
          <w:rFonts w:ascii="Arial" w:hAnsi="Arial" w:cs="Arial"/>
        </w:rPr>
      </w:pPr>
      <w:r w:rsidRPr="00FD48D0">
        <w:rPr>
          <w:rFonts w:ascii="Arial" w:hAnsi="Arial" w:cs="Arial"/>
        </w:rPr>
        <w:fldChar w:fldCharType="begin"/>
      </w:r>
      <w:r w:rsidRPr="00FD48D0">
        <w:rPr>
          <w:rFonts w:ascii="Arial" w:hAnsi="Arial" w:cs="Arial"/>
        </w:rPr>
        <w:instrText xml:space="preserve"> ADDIN EN.REFLIST </w:instrText>
      </w:r>
      <w:r w:rsidRPr="00FD48D0">
        <w:rPr>
          <w:rFonts w:ascii="Arial" w:hAnsi="Arial" w:cs="Arial"/>
        </w:rPr>
        <w:fldChar w:fldCharType="separate"/>
      </w:r>
      <w:r w:rsidRPr="00FD48D0">
        <w:rPr>
          <w:rFonts w:ascii="Arial" w:hAnsi="Arial" w:cs="Arial"/>
        </w:rPr>
        <w:t>1.</w:t>
      </w:r>
      <w:r w:rsidRPr="00FD48D0">
        <w:rPr>
          <w:rFonts w:ascii="Arial" w:hAnsi="Arial" w:cs="Arial"/>
        </w:rPr>
        <w:tab/>
        <w:t>Upadhyaya SG, Murphree Jr DH, Ngufor CG, Knight AM, Cronk DJ, Cima RR, Curry TB, Pathak J, Carter RE, Kor DJ. Automated diabetes case identification using electronic health record data at a tertiary care facility. Mayo Clinic Proceedings: Innovations, Quality &amp; Outcomes. 2017;1(1):100-10.</w:t>
      </w:r>
    </w:p>
    <w:p w14:paraId="037B84AE" w14:textId="77777777" w:rsidR="004C2BE5" w:rsidRPr="00FD48D0" w:rsidRDefault="004C2BE5" w:rsidP="004C2BE5">
      <w:pPr>
        <w:pStyle w:val="EndNoteBibliography"/>
        <w:spacing w:after="120"/>
        <w:rPr>
          <w:rFonts w:ascii="Arial" w:hAnsi="Arial" w:cs="Arial"/>
        </w:rPr>
      </w:pPr>
      <w:r w:rsidRPr="00FD48D0">
        <w:rPr>
          <w:rFonts w:ascii="Arial" w:hAnsi="Arial" w:cs="Arial"/>
        </w:rPr>
        <w:t>2.</w:t>
      </w:r>
      <w:r w:rsidRPr="00FD48D0">
        <w:rPr>
          <w:rFonts w:ascii="Arial" w:hAnsi="Arial" w:cs="Arial"/>
        </w:rPr>
        <w:tab/>
        <w:t>Sharp SA, Rich SS, Wood AR, Jones SE, Beaumont RN, Harrison JW, Schneider DA, Locke JM, Tyrrell J, Weedon MN. Development and standardization of an improved type 1 diabetes genetic risk score for use in newborn screening and incident diagnosis. Diabetes Care. 2019;42(2):200-7.</w:t>
      </w:r>
    </w:p>
    <w:p w14:paraId="349DBAFD" w14:textId="77777777" w:rsidR="004C2BE5" w:rsidRPr="00FD48D0" w:rsidRDefault="004C2BE5" w:rsidP="004C2BE5">
      <w:pPr>
        <w:pStyle w:val="EndNoteBibliography"/>
        <w:spacing w:after="120"/>
        <w:rPr>
          <w:rFonts w:ascii="Arial" w:hAnsi="Arial" w:cs="Arial"/>
        </w:rPr>
      </w:pPr>
      <w:r w:rsidRPr="00FD48D0">
        <w:rPr>
          <w:rFonts w:ascii="Arial" w:hAnsi="Arial" w:cs="Arial"/>
        </w:rPr>
        <w:t>3.</w:t>
      </w:r>
      <w:r w:rsidRPr="00FD48D0">
        <w:rPr>
          <w:rFonts w:ascii="Arial" w:hAnsi="Arial" w:cs="Arial"/>
        </w:rPr>
        <w:tab/>
        <w:t>Jia X, Han B, Onengut-Gumuscu S, Chen W-M, Concannon PJ, Rich SS, Raychaudhuri S, de Bakker PI. Imputing amino acid polymorphisms in human leukocyte antigens. PloS one. 2013;8(6):e64683.</w:t>
      </w:r>
    </w:p>
    <w:p w14:paraId="221B4318" w14:textId="77777777" w:rsidR="004C2BE5" w:rsidRPr="00FD48D0" w:rsidRDefault="004C2BE5" w:rsidP="004C2BE5">
      <w:pPr>
        <w:pStyle w:val="EndNoteBibliography"/>
        <w:spacing w:after="120"/>
        <w:rPr>
          <w:rFonts w:ascii="Arial" w:hAnsi="Arial" w:cs="Arial"/>
        </w:rPr>
      </w:pPr>
      <w:r w:rsidRPr="00FD48D0">
        <w:rPr>
          <w:rFonts w:ascii="Arial" w:hAnsi="Arial" w:cs="Arial"/>
        </w:rPr>
        <w:lastRenderedPageBreak/>
        <w:t>4.</w:t>
      </w:r>
      <w:r w:rsidRPr="00FD48D0">
        <w:rPr>
          <w:rFonts w:ascii="Arial" w:hAnsi="Arial" w:cs="Arial"/>
        </w:rPr>
        <w:tab/>
        <w:t>Choi SW, O'Reilly PF. PRSice-2: Polygenic Risk Score software for biobank-scale data. GigaScience. 2019;8(7). doi: 10.1093/gigascience/giz082.</w:t>
      </w:r>
    </w:p>
    <w:p w14:paraId="7E661A34" w14:textId="0AE9B8A1" w:rsidR="000513DA" w:rsidRPr="009C5B8C" w:rsidRDefault="004C2BE5" w:rsidP="004C2BE5">
      <w:pPr>
        <w:spacing w:after="0" w:line="240" w:lineRule="auto"/>
        <w:rPr>
          <w:rFonts w:ascii="Arial" w:hAnsi="Arial" w:cs="Arial"/>
        </w:rPr>
      </w:pPr>
      <w:r w:rsidRPr="00FD48D0">
        <w:rPr>
          <w:rFonts w:ascii="Arial" w:hAnsi="Arial" w:cs="Arial"/>
          <w:noProof/>
        </w:rPr>
        <w:fldChar w:fldCharType="end"/>
      </w:r>
    </w:p>
    <w:p w14:paraId="2E082BF0" w14:textId="148E0415" w:rsidR="000513DA" w:rsidRDefault="000513DA" w:rsidP="000513DA">
      <w:pPr>
        <w:spacing w:after="0" w:line="240" w:lineRule="auto"/>
        <w:rPr>
          <w:rFonts w:ascii="Arial" w:hAnsi="Arial" w:cs="Arial"/>
        </w:rPr>
      </w:pPr>
    </w:p>
    <w:p w14:paraId="0A8A5129" w14:textId="794A29A0" w:rsidR="000513DA" w:rsidRDefault="000513DA" w:rsidP="000513DA">
      <w:pPr>
        <w:spacing w:after="0" w:line="240" w:lineRule="auto"/>
        <w:rPr>
          <w:rFonts w:ascii="Arial" w:hAnsi="Arial" w:cs="Arial"/>
        </w:rPr>
      </w:pPr>
    </w:p>
    <w:p w14:paraId="0F657EFC" w14:textId="73C84EE9" w:rsidR="00C04BD7" w:rsidRDefault="00C04BD7" w:rsidP="009C5B8C">
      <w:pPr>
        <w:spacing w:after="0" w:line="240" w:lineRule="auto"/>
        <w:rPr>
          <w:rFonts w:ascii="Arial" w:hAnsi="Arial" w:cs="Arial"/>
        </w:rPr>
      </w:pPr>
    </w:p>
    <w:p w14:paraId="408BB5CE" w14:textId="17626B2B" w:rsidR="00C04BD7" w:rsidRDefault="00C04BD7" w:rsidP="009C5B8C">
      <w:pPr>
        <w:spacing w:after="0" w:line="240" w:lineRule="auto"/>
        <w:rPr>
          <w:rFonts w:ascii="Arial" w:hAnsi="Arial" w:cs="Arial"/>
        </w:rPr>
      </w:pPr>
    </w:p>
    <w:p w14:paraId="541DD9DB" w14:textId="021C326A" w:rsidR="00C04BD7" w:rsidRDefault="00C04BD7" w:rsidP="009C5B8C">
      <w:pPr>
        <w:spacing w:after="0" w:line="240" w:lineRule="auto"/>
        <w:rPr>
          <w:rFonts w:ascii="Arial" w:hAnsi="Arial" w:cs="Arial"/>
        </w:rPr>
      </w:pPr>
    </w:p>
    <w:p w14:paraId="34953A4D" w14:textId="2F453D09" w:rsidR="00C04BD7" w:rsidRDefault="00C04BD7" w:rsidP="009C5B8C">
      <w:pPr>
        <w:spacing w:after="0" w:line="240" w:lineRule="auto"/>
        <w:rPr>
          <w:rFonts w:ascii="Arial" w:hAnsi="Arial" w:cs="Arial"/>
        </w:rPr>
      </w:pPr>
    </w:p>
    <w:p w14:paraId="56686B80" w14:textId="6FC37034" w:rsidR="00C04BD7" w:rsidRPr="009C5B8C" w:rsidRDefault="00C04BD7" w:rsidP="009C5B8C">
      <w:pPr>
        <w:spacing w:after="0" w:line="240" w:lineRule="auto"/>
        <w:rPr>
          <w:rFonts w:ascii="Arial" w:hAnsi="Arial" w:cs="Arial"/>
        </w:rPr>
      </w:pPr>
    </w:p>
    <w:sectPr w:rsidR="00C04BD7" w:rsidRPr="009C5B8C" w:rsidSect="000D3F5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61F6A" w14:textId="77777777" w:rsidR="004E0934" w:rsidRDefault="004E0934" w:rsidP="009C5B8C">
      <w:pPr>
        <w:spacing w:after="0" w:line="240" w:lineRule="auto"/>
      </w:pPr>
      <w:r>
        <w:separator/>
      </w:r>
    </w:p>
  </w:endnote>
  <w:endnote w:type="continuationSeparator" w:id="0">
    <w:p w14:paraId="6746B72D" w14:textId="77777777" w:rsidR="004E0934" w:rsidRDefault="004E0934" w:rsidP="009C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EFA31" w14:textId="77777777" w:rsidR="004E0934" w:rsidRDefault="004E0934" w:rsidP="009C5B8C">
      <w:pPr>
        <w:spacing w:after="0" w:line="240" w:lineRule="auto"/>
      </w:pPr>
      <w:r>
        <w:separator/>
      </w:r>
    </w:p>
  </w:footnote>
  <w:footnote w:type="continuationSeparator" w:id="0">
    <w:p w14:paraId="7C2FC6E8" w14:textId="77777777" w:rsidR="004E0934" w:rsidRDefault="004E0934" w:rsidP="009C5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3DC1" w14:textId="41E505A2" w:rsidR="00AC33D4" w:rsidRDefault="00AC33D4" w:rsidP="009C5B8C">
    <w:pPr>
      <w:pStyle w:val="Header"/>
      <w:jc w:val="right"/>
    </w:pPr>
    <w:r>
      <w:t>Children’s Hospital of Philadelphia</w:t>
    </w:r>
  </w:p>
  <w:p w14:paraId="136BDC4C" w14:textId="77777777" w:rsidR="00AC33D4" w:rsidRDefault="00AC3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04C"/>
    <w:multiLevelType w:val="hybridMultilevel"/>
    <w:tmpl w:val="0B447122"/>
    <w:lvl w:ilvl="0" w:tplc="087CC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A79D2"/>
    <w:multiLevelType w:val="hybridMultilevel"/>
    <w:tmpl w:val="76B219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46A14E3"/>
    <w:multiLevelType w:val="hybridMultilevel"/>
    <w:tmpl w:val="DF08C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F88"/>
    <w:multiLevelType w:val="hybridMultilevel"/>
    <w:tmpl w:val="C8CA712A"/>
    <w:lvl w:ilvl="0" w:tplc="E6305A7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58F1"/>
    <w:multiLevelType w:val="hybridMultilevel"/>
    <w:tmpl w:val="E32004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E2797"/>
    <w:multiLevelType w:val="hybridMultilevel"/>
    <w:tmpl w:val="BDBA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97EA7"/>
    <w:multiLevelType w:val="hybridMultilevel"/>
    <w:tmpl w:val="489298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D5DCD"/>
    <w:multiLevelType w:val="hybridMultilevel"/>
    <w:tmpl w:val="FC06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C5240"/>
    <w:multiLevelType w:val="hybridMultilevel"/>
    <w:tmpl w:val="5566A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461"/>
    <w:multiLevelType w:val="hybridMultilevel"/>
    <w:tmpl w:val="16EA5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D3438"/>
    <w:multiLevelType w:val="hybridMultilevel"/>
    <w:tmpl w:val="181C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B6162"/>
    <w:multiLevelType w:val="hybridMultilevel"/>
    <w:tmpl w:val="6026E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41B3C"/>
    <w:multiLevelType w:val="hybridMultilevel"/>
    <w:tmpl w:val="131A4C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B4CD6"/>
    <w:multiLevelType w:val="hybridMultilevel"/>
    <w:tmpl w:val="DA36D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001CD"/>
    <w:multiLevelType w:val="hybridMultilevel"/>
    <w:tmpl w:val="92A8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811B9"/>
    <w:multiLevelType w:val="hybridMultilevel"/>
    <w:tmpl w:val="1874652A"/>
    <w:lvl w:ilvl="0" w:tplc="0930BA0C">
      <w:numFmt w:val="bullet"/>
      <w:lvlText w:val="-"/>
      <w:lvlJc w:val="left"/>
      <w:pPr>
        <w:ind w:left="1108" w:hanging="360"/>
      </w:pPr>
      <w:rPr>
        <w:rFonts w:ascii="Arial" w:eastAsiaTheme="minorHAnsi" w:hAnsi="Arial" w:cs="Aria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6" w15:restartNumberingAfterBreak="0">
    <w:nsid w:val="53FD4D23"/>
    <w:multiLevelType w:val="hybridMultilevel"/>
    <w:tmpl w:val="FAFE7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F52F6"/>
    <w:multiLevelType w:val="hybridMultilevel"/>
    <w:tmpl w:val="DEFE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953E5"/>
    <w:multiLevelType w:val="hybridMultilevel"/>
    <w:tmpl w:val="FD0EC42A"/>
    <w:lvl w:ilvl="0" w:tplc="C42A3544">
      <w:start w:val="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830CA"/>
    <w:multiLevelType w:val="hybridMultilevel"/>
    <w:tmpl w:val="7D56C1BE"/>
    <w:lvl w:ilvl="0" w:tplc="04090001">
      <w:start w:val="1"/>
      <w:numFmt w:val="bullet"/>
      <w:lvlText w:val=""/>
      <w:lvlJc w:val="left"/>
      <w:pPr>
        <w:ind w:left="1080" w:hanging="360"/>
      </w:pPr>
      <w:rPr>
        <w:rFonts w:ascii="Symbol" w:hAnsi="Symbol" w:hint="default"/>
      </w:rPr>
    </w:lvl>
    <w:lvl w:ilvl="1" w:tplc="1EEA6A5C">
      <w:start w:val="60"/>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6B180E"/>
    <w:multiLevelType w:val="hybridMultilevel"/>
    <w:tmpl w:val="2752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18"/>
  </w:num>
  <w:num w:numId="5">
    <w:abstractNumId w:val="19"/>
  </w:num>
  <w:num w:numId="6">
    <w:abstractNumId w:val="13"/>
  </w:num>
  <w:num w:numId="7">
    <w:abstractNumId w:val="17"/>
  </w:num>
  <w:num w:numId="8">
    <w:abstractNumId w:val="3"/>
  </w:num>
  <w:num w:numId="9">
    <w:abstractNumId w:val="16"/>
  </w:num>
  <w:num w:numId="10">
    <w:abstractNumId w:val="5"/>
  </w:num>
  <w:num w:numId="11">
    <w:abstractNumId w:val="20"/>
  </w:num>
  <w:num w:numId="12">
    <w:abstractNumId w:val="4"/>
  </w:num>
  <w:num w:numId="13">
    <w:abstractNumId w:val="8"/>
  </w:num>
  <w:num w:numId="14">
    <w:abstractNumId w:val="10"/>
  </w:num>
  <w:num w:numId="15">
    <w:abstractNumId w:val="6"/>
  </w:num>
  <w:num w:numId="16">
    <w:abstractNumId w:val="11"/>
  </w:num>
  <w:num w:numId="17">
    <w:abstractNumId w:val="2"/>
  </w:num>
  <w:num w:numId="18">
    <w:abstractNumId w:val="9"/>
  </w:num>
  <w:num w:numId="19">
    <w:abstractNumId w:val="1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53"/>
    <w:rsid w:val="00005F14"/>
    <w:rsid w:val="000513DA"/>
    <w:rsid w:val="0005642E"/>
    <w:rsid w:val="00072E5D"/>
    <w:rsid w:val="000879DE"/>
    <w:rsid w:val="0009125C"/>
    <w:rsid w:val="000A59A5"/>
    <w:rsid w:val="000D1622"/>
    <w:rsid w:val="000D3F53"/>
    <w:rsid w:val="000E0221"/>
    <w:rsid w:val="001433B8"/>
    <w:rsid w:val="001468D4"/>
    <w:rsid w:val="00151EB9"/>
    <w:rsid w:val="00173355"/>
    <w:rsid w:val="00183A06"/>
    <w:rsid w:val="001C3F7A"/>
    <w:rsid w:val="001C5A0B"/>
    <w:rsid w:val="00202B12"/>
    <w:rsid w:val="002269CA"/>
    <w:rsid w:val="00242BC5"/>
    <w:rsid w:val="00296673"/>
    <w:rsid w:val="002D3AFC"/>
    <w:rsid w:val="002D4505"/>
    <w:rsid w:val="0030298D"/>
    <w:rsid w:val="00313719"/>
    <w:rsid w:val="0033535F"/>
    <w:rsid w:val="00337111"/>
    <w:rsid w:val="003602AC"/>
    <w:rsid w:val="0036697F"/>
    <w:rsid w:val="00375F10"/>
    <w:rsid w:val="003C0CAE"/>
    <w:rsid w:val="003D2439"/>
    <w:rsid w:val="0048145D"/>
    <w:rsid w:val="0048269A"/>
    <w:rsid w:val="00485D18"/>
    <w:rsid w:val="004970AE"/>
    <w:rsid w:val="004B655E"/>
    <w:rsid w:val="004C2BE5"/>
    <w:rsid w:val="004E0934"/>
    <w:rsid w:val="0051493B"/>
    <w:rsid w:val="00515616"/>
    <w:rsid w:val="005477E6"/>
    <w:rsid w:val="00580947"/>
    <w:rsid w:val="00580FA5"/>
    <w:rsid w:val="005E644A"/>
    <w:rsid w:val="0063061D"/>
    <w:rsid w:val="00632BB6"/>
    <w:rsid w:val="006459FD"/>
    <w:rsid w:val="00683395"/>
    <w:rsid w:val="006D1F46"/>
    <w:rsid w:val="007216D3"/>
    <w:rsid w:val="0073276F"/>
    <w:rsid w:val="007A551D"/>
    <w:rsid w:val="007B1870"/>
    <w:rsid w:val="00815F4B"/>
    <w:rsid w:val="00816E0D"/>
    <w:rsid w:val="00891CE0"/>
    <w:rsid w:val="00895D1A"/>
    <w:rsid w:val="008C678B"/>
    <w:rsid w:val="00902AD8"/>
    <w:rsid w:val="00927DFD"/>
    <w:rsid w:val="00970C0B"/>
    <w:rsid w:val="009B0763"/>
    <w:rsid w:val="009C5B8C"/>
    <w:rsid w:val="009D1024"/>
    <w:rsid w:val="00A25438"/>
    <w:rsid w:val="00A46961"/>
    <w:rsid w:val="00AC33D4"/>
    <w:rsid w:val="00AC5751"/>
    <w:rsid w:val="00B92EBB"/>
    <w:rsid w:val="00BE0B0D"/>
    <w:rsid w:val="00BF3B87"/>
    <w:rsid w:val="00C04BD7"/>
    <w:rsid w:val="00C60169"/>
    <w:rsid w:val="00C905E3"/>
    <w:rsid w:val="00CE0F4C"/>
    <w:rsid w:val="00D1177D"/>
    <w:rsid w:val="00D127B2"/>
    <w:rsid w:val="00D51CED"/>
    <w:rsid w:val="00D65AC1"/>
    <w:rsid w:val="00DB5C4C"/>
    <w:rsid w:val="00DC24BC"/>
    <w:rsid w:val="00E22D3C"/>
    <w:rsid w:val="00E3503D"/>
    <w:rsid w:val="00E367EA"/>
    <w:rsid w:val="00E36E34"/>
    <w:rsid w:val="00E526E3"/>
    <w:rsid w:val="00ED2949"/>
    <w:rsid w:val="00EF1B9F"/>
    <w:rsid w:val="00F330C0"/>
    <w:rsid w:val="00F53190"/>
    <w:rsid w:val="00F55C0C"/>
    <w:rsid w:val="00F95FF8"/>
    <w:rsid w:val="00F96ED6"/>
    <w:rsid w:val="00F974E1"/>
    <w:rsid w:val="00FA16DB"/>
    <w:rsid w:val="00FB32CC"/>
    <w:rsid w:val="00FE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1506"/>
  <w15:chartTrackingRefBased/>
  <w15:docId w15:val="{B06CE82B-6C49-417F-9C13-572734BD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B8C"/>
    <w:rPr>
      <w:color w:val="0563C1" w:themeColor="hyperlink"/>
      <w:u w:val="single"/>
    </w:rPr>
  </w:style>
  <w:style w:type="paragraph" w:styleId="Header">
    <w:name w:val="header"/>
    <w:basedOn w:val="Normal"/>
    <w:link w:val="HeaderChar"/>
    <w:uiPriority w:val="99"/>
    <w:unhideWhenUsed/>
    <w:rsid w:val="009C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8C"/>
  </w:style>
  <w:style w:type="paragraph" w:styleId="Footer">
    <w:name w:val="footer"/>
    <w:basedOn w:val="Normal"/>
    <w:link w:val="FooterChar"/>
    <w:uiPriority w:val="99"/>
    <w:unhideWhenUsed/>
    <w:rsid w:val="009C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8C"/>
  </w:style>
  <w:style w:type="paragraph" w:customStyle="1" w:styleId="Default">
    <w:name w:val="Default"/>
    <w:rsid w:val="00E36E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1493B"/>
    <w:rPr>
      <w:sz w:val="16"/>
      <w:szCs w:val="16"/>
    </w:rPr>
  </w:style>
  <w:style w:type="paragraph" w:styleId="CommentText">
    <w:name w:val="annotation text"/>
    <w:basedOn w:val="Normal"/>
    <w:link w:val="CommentTextChar"/>
    <w:uiPriority w:val="99"/>
    <w:semiHidden/>
    <w:unhideWhenUsed/>
    <w:rsid w:val="0051493B"/>
    <w:pPr>
      <w:spacing w:line="240" w:lineRule="auto"/>
    </w:pPr>
    <w:rPr>
      <w:sz w:val="20"/>
      <w:szCs w:val="20"/>
    </w:rPr>
  </w:style>
  <w:style w:type="character" w:customStyle="1" w:styleId="CommentTextChar">
    <w:name w:val="Comment Text Char"/>
    <w:basedOn w:val="DefaultParagraphFont"/>
    <w:link w:val="CommentText"/>
    <w:uiPriority w:val="99"/>
    <w:semiHidden/>
    <w:rsid w:val="0051493B"/>
    <w:rPr>
      <w:sz w:val="20"/>
      <w:szCs w:val="20"/>
    </w:rPr>
  </w:style>
  <w:style w:type="paragraph" w:styleId="CommentSubject">
    <w:name w:val="annotation subject"/>
    <w:basedOn w:val="CommentText"/>
    <w:next w:val="CommentText"/>
    <w:link w:val="CommentSubjectChar"/>
    <w:uiPriority w:val="99"/>
    <w:semiHidden/>
    <w:unhideWhenUsed/>
    <w:rsid w:val="0051493B"/>
    <w:rPr>
      <w:b/>
      <w:bCs/>
    </w:rPr>
  </w:style>
  <w:style w:type="character" w:customStyle="1" w:styleId="CommentSubjectChar">
    <w:name w:val="Comment Subject Char"/>
    <w:basedOn w:val="CommentTextChar"/>
    <w:link w:val="CommentSubject"/>
    <w:uiPriority w:val="99"/>
    <w:semiHidden/>
    <w:rsid w:val="0051493B"/>
    <w:rPr>
      <w:b/>
      <w:bCs/>
      <w:sz w:val="20"/>
      <w:szCs w:val="20"/>
    </w:rPr>
  </w:style>
  <w:style w:type="paragraph" w:styleId="BalloonText">
    <w:name w:val="Balloon Text"/>
    <w:basedOn w:val="Normal"/>
    <w:link w:val="BalloonTextChar"/>
    <w:uiPriority w:val="99"/>
    <w:semiHidden/>
    <w:unhideWhenUsed/>
    <w:rsid w:val="00514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3B"/>
    <w:rPr>
      <w:rFonts w:ascii="Segoe UI" w:hAnsi="Segoe UI" w:cs="Segoe UI"/>
      <w:sz w:val="18"/>
      <w:szCs w:val="18"/>
    </w:rPr>
  </w:style>
  <w:style w:type="paragraph" w:styleId="ListParagraph">
    <w:name w:val="List Paragraph"/>
    <w:basedOn w:val="Normal"/>
    <w:uiPriority w:val="34"/>
    <w:qFormat/>
    <w:rsid w:val="00CE0F4C"/>
    <w:pPr>
      <w:ind w:left="720"/>
      <w:contextualSpacing/>
    </w:pPr>
  </w:style>
  <w:style w:type="paragraph" w:styleId="Revision">
    <w:name w:val="Revision"/>
    <w:hidden/>
    <w:uiPriority w:val="99"/>
    <w:semiHidden/>
    <w:rsid w:val="003D2439"/>
    <w:pPr>
      <w:spacing w:after="0" w:line="240" w:lineRule="auto"/>
    </w:pPr>
  </w:style>
  <w:style w:type="paragraph" w:customStyle="1" w:styleId="EndNoteBibliography">
    <w:name w:val="EndNote Bibliography"/>
    <w:basedOn w:val="Normal"/>
    <w:link w:val="EndNoteBibliographyChar"/>
    <w:rsid w:val="004C2BE5"/>
    <w:pPr>
      <w:spacing w:line="240" w:lineRule="auto"/>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4C2BE5"/>
    <w:rPr>
      <w:rFonts w:ascii="Calibri" w:eastAsiaTheme="minorEastAsia" w:hAnsi="Calibri" w:cs="Calibri"/>
      <w:noProof/>
      <w:lang w:eastAsia="zh-CN"/>
    </w:rPr>
  </w:style>
  <w:style w:type="character" w:customStyle="1" w:styleId="readonlyfield">
    <w:name w:val="readonlyfield"/>
    <w:basedOn w:val="DefaultParagraphFont"/>
    <w:rsid w:val="0036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99894">
      <w:bodyDiv w:val="1"/>
      <w:marLeft w:val="0"/>
      <w:marRight w:val="0"/>
      <w:marTop w:val="0"/>
      <w:marBottom w:val="0"/>
      <w:divBdr>
        <w:top w:val="none" w:sz="0" w:space="0" w:color="auto"/>
        <w:left w:val="none" w:sz="0" w:space="0" w:color="auto"/>
        <w:bottom w:val="none" w:sz="0" w:space="0" w:color="auto"/>
        <w:right w:val="none" w:sz="0" w:space="0" w:color="auto"/>
      </w:divBdr>
    </w:div>
    <w:div w:id="830607865">
      <w:bodyDiv w:val="1"/>
      <w:marLeft w:val="0"/>
      <w:marRight w:val="0"/>
      <w:marTop w:val="0"/>
      <w:marBottom w:val="0"/>
      <w:divBdr>
        <w:top w:val="none" w:sz="0" w:space="0" w:color="auto"/>
        <w:left w:val="none" w:sz="0" w:space="0" w:color="auto"/>
        <w:bottom w:val="none" w:sz="0" w:space="0" w:color="auto"/>
        <w:right w:val="none" w:sz="0" w:space="0" w:color="auto"/>
      </w:divBdr>
    </w:div>
    <w:div w:id="853614342">
      <w:bodyDiv w:val="1"/>
      <w:marLeft w:val="0"/>
      <w:marRight w:val="0"/>
      <w:marTop w:val="0"/>
      <w:marBottom w:val="0"/>
      <w:divBdr>
        <w:top w:val="none" w:sz="0" w:space="0" w:color="auto"/>
        <w:left w:val="none" w:sz="0" w:space="0" w:color="auto"/>
        <w:bottom w:val="none" w:sz="0" w:space="0" w:color="auto"/>
        <w:right w:val="none" w:sz="0" w:space="0" w:color="auto"/>
      </w:divBdr>
    </w:div>
    <w:div w:id="956981936">
      <w:bodyDiv w:val="1"/>
      <w:marLeft w:val="0"/>
      <w:marRight w:val="0"/>
      <w:marTop w:val="0"/>
      <w:marBottom w:val="0"/>
      <w:divBdr>
        <w:top w:val="none" w:sz="0" w:space="0" w:color="auto"/>
        <w:left w:val="none" w:sz="0" w:space="0" w:color="auto"/>
        <w:bottom w:val="none" w:sz="0" w:space="0" w:color="auto"/>
        <w:right w:val="none" w:sz="0" w:space="0" w:color="auto"/>
      </w:divBdr>
    </w:div>
    <w:div w:id="1883663853">
      <w:bodyDiv w:val="1"/>
      <w:marLeft w:val="0"/>
      <w:marRight w:val="0"/>
      <w:marTop w:val="0"/>
      <w:marBottom w:val="0"/>
      <w:divBdr>
        <w:top w:val="none" w:sz="0" w:space="0" w:color="auto"/>
        <w:left w:val="none" w:sz="0" w:space="0" w:color="auto"/>
        <w:bottom w:val="none" w:sz="0" w:space="0" w:color="auto"/>
        <w:right w:val="none" w:sz="0" w:space="0" w:color="auto"/>
      </w:divBdr>
    </w:div>
    <w:div w:id="21379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tchf@chop.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7AE6-8429-43F6-9664-5EF69FAF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Connolly</dc:creator>
  <cp:keywords/>
  <dc:description/>
  <cp:lastModifiedBy>Mentch, Frank D</cp:lastModifiedBy>
  <cp:revision>7</cp:revision>
  <dcterms:created xsi:type="dcterms:W3CDTF">2021-03-06T20:00:00Z</dcterms:created>
  <dcterms:modified xsi:type="dcterms:W3CDTF">2021-03-08T01:00:00Z</dcterms:modified>
</cp:coreProperties>
</file>