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FBE33" w14:textId="12921421" w:rsidR="00F04F12" w:rsidRDefault="00BF47EB" w:rsidP="00E477CD">
      <w:pPr>
        <w:pStyle w:val="Heading1"/>
        <w:jc w:val="center"/>
      </w:pPr>
      <w:r>
        <w:t xml:space="preserve">Approach to Phenotyping for Diverticular Disease </w:t>
      </w:r>
      <w:proofErr w:type="spellStart"/>
      <w:r>
        <w:t>Sub</w:t>
      </w:r>
      <w:r w:rsidR="00730F71">
        <w:t>phenotypes</w:t>
      </w:r>
      <w:proofErr w:type="spellEnd"/>
    </w:p>
    <w:p w14:paraId="30606EEE" w14:textId="77777777" w:rsidR="00E477CD" w:rsidRDefault="00E477CD" w:rsidP="00BF47EB">
      <w:pPr>
        <w:rPr>
          <w:b/>
          <w:bCs/>
        </w:rPr>
      </w:pPr>
    </w:p>
    <w:p w14:paraId="6FDA1F58" w14:textId="3BBF2E4F" w:rsidR="00BF47EB" w:rsidRDefault="00B33595" w:rsidP="00E477CD">
      <w:pPr>
        <w:pStyle w:val="Heading3"/>
      </w:pPr>
      <w:r>
        <w:t>Overview</w:t>
      </w:r>
    </w:p>
    <w:p w14:paraId="78214984" w14:textId="7CACF465" w:rsidR="00B35248" w:rsidRDefault="00770DA5" w:rsidP="00BF47EB">
      <w:r>
        <w:t>Colonic d</w:t>
      </w:r>
      <w:r w:rsidR="002179F7">
        <w:t xml:space="preserve">iverticular </w:t>
      </w:r>
      <w:r w:rsidR="00E4342C" w:rsidRPr="00E4342C">
        <w:t xml:space="preserve">disease represents a spectrum </w:t>
      </w:r>
      <w:r w:rsidR="002179F7">
        <w:t xml:space="preserve">from </w:t>
      </w:r>
      <w:r w:rsidR="00E4342C" w:rsidRPr="00E4342C">
        <w:t>a</w:t>
      </w:r>
      <w:r w:rsidR="00213F3E">
        <w:t xml:space="preserve">n </w:t>
      </w:r>
      <w:r w:rsidR="002179F7" w:rsidRPr="002179F7">
        <w:t>asymptomatic precursor</w:t>
      </w:r>
      <w:r w:rsidR="002179F7">
        <w:t xml:space="preserve"> of diverticulosis </w:t>
      </w:r>
      <w:r w:rsidR="00213F3E">
        <w:t>to complicated diverticulitis</w:t>
      </w:r>
      <w:r w:rsidR="00D20646">
        <w:t xml:space="preserve"> through development of an abscess, </w:t>
      </w:r>
      <w:r w:rsidR="008538F4">
        <w:t xml:space="preserve">fistula, </w:t>
      </w:r>
      <w:r w:rsidR="00D20646">
        <w:t xml:space="preserve">stricture, </w:t>
      </w:r>
      <w:proofErr w:type="spellStart"/>
      <w:r w:rsidR="00D20646">
        <w:t>macroperforation</w:t>
      </w:r>
      <w:proofErr w:type="spellEnd"/>
      <w:r w:rsidR="00D20646">
        <w:t xml:space="preserve">, </w:t>
      </w:r>
      <w:r w:rsidR="00327CA0">
        <w:t xml:space="preserve">peritonitis, </w:t>
      </w:r>
      <w:r w:rsidR="00D20646">
        <w:t>or obstruction</w:t>
      </w:r>
      <w:r w:rsidR="00213F3E">
        <w:t xml:space="preserve">. </w:t>
      </w:r>
      <w:r w:rsidR="00DF6D04">
        <w:t>Thus far, excellent work has been done by Pacheco &amp; Thompson</w:t>
      </w:r>
      <w:r w:rsidR="00612A57">
        <w:fldChar w:fldCharType="begin"/>
      </w:r>
      <w:r w:rsidR="00612A57">
        <w:instrText xml:space="preserve"> ADDIN ZOTERO_ITEM CSL_CITATION {"citationID":"1UNwtPCm","properties":{"formattedCitation":"\\super 1\\nosupersub{}","plainCitation":"1","noteIndex":0},"citationItems":[{"id":7699,"uris":["http://zotero.org/groups/5330247/items/IWJV3YMV"],"itemData":{"id":7699,"type":"webpage","container-title":"PheKB. Northwestern University The Feinberg School of Medicine","title":"Diverticulosis and Diverticulitis","URL":"https://phekb.org/phenotype/diverticulosis-and-diverticulitis","author":[{"family":"Pacheco","given":"Jennifer. A"},{"family":"Thompson","given":"Will"}],"accessed":{"date-parts":[["2023",1,8]]}}}],"schema":"https://github.com/citation-style-language/schema/raw/master/csl-citation.json"} </w:instrText>
      </w:r>
      <w:r w:rsidR="00612A57">
        <w:fldChar w:fldCharType="separate"/>
      </w:r>
      <w:r w:rsidR="00612A57" w:rsidRPr="00612A57">
        <w:rPr>
          <w:rFonts w:ascii="Calibri" w:hAnsi="Calibri" w:cs="Calibri"/>
          <w:kern w:val="0"/>
          <w:szCs w:val="24"/>
          <w:vertAlign w:val="superscript"/>
        </w:rPr>
        <w:t>1</w:t>
      </w:r>
      <w:r w:rsidR="00612A57">
        <w:fldChar w:fldCharType="end"/>
      </w:r>
      <w:r w:rsidR="005C5924">
        <w:t xml:space="preserve"> as published in Joo et al (2023)</w:t>
      </w:r>
      <w:r w:rsidR="00CE485E">
        <w:fldChar w:fldCharType="begin"/>
      </w:r>
      <w:r w:rsidR="00CE485E">
        <w:instrText xml:space="preserve"> ADDIN ZOTERO_ITEM CSL_CITATION {"citationID":"KIddmsME","properties":{"formattedCitation":"\\super 2\\nosupersub{}","plainCitation":"2","noteIndex":0},"citationItems":[{"id":7693,"uris":["http://zotero.org/groups/5330247/items/XVKYEF3L"],"itemData":{"id":7693,"type":"article-journal","abstract":"Objective\nDiverticular disease (DD) is one of the most prevalent conditions encountered by gastroenterologists, affecting ~50% of Americans before the age of 60. Our aim was to identify genetic risk variants and clinical phenotypes associated with DD, leveraging multiple electronic health record (EHR) data sources of 91,166 multi-ancestry participants with a Natural Language Processing (NLP) technique.\n\nMaterials and methods\nWe developed a NLP-enriched phenotyping algorithm that incorporated colonoscopy or abdominal imaging reports to identify patients with diverticulosis and diverticulitis from multicenter EHRs. We performed genome-wide association studies (GWAS) of DD in European, African and multi-ancestry participants, followed by phenome-wide association studies (PheWAS) of the risk variants to identify their potential comorbid/pleiotropic effects in clinical phenotypes.\n\nResults\nOur developed algorithm showed a significant improvement in patient classification performance for DD analysis (algorithm PPVs ≥ 0.94), with up to a 3.5 fold increase in terms of the number of identified patients than the traditional method. Ancestry-stratified analyses of diverticulosis and diverticulitis of the identified subjects replicated the well-established associations between ARHGAP15 loci with DD, showing overall intensified GWAS signals in diverticulitis patients compared to diverticulosis patients. Our PheWAS analyses identified significant associations between the DD GWAS variants and circulatory system, genitourinary, and neoplastic EHR phenotypes.\n\nDiscussion\nAs the first multi-ancestry GWAS-PheWAS study, we showcased that heterogenous EHR data can be mapped through an integrative analytical pipeline and reveal significant genotype-phenotype associations with clinical interpretation.\n\nConclusion\nA systematic framework to process unstructured EHR data with NLP could advance a deep and scalable phenotyping for better patient identification and facilitate etiological investigation of a disease with multilayered data.","container-title":"PLOS ONE","DOI":"10.1371/journal.pone.0283553","ISSN":"1932-6203","issue":"5","journalAbbreviation":"PLoS One","note":"PMID: 37196047\nPMCID: PMC10191288","page":"e0283553","source":"PubMed Central","title":"Multi-ancestry genome- and phenome-wide association studies of diverticular disease in electronic health records with natural language processing enriched phenotyping algorithm","volume":"18","author":[{"family":"Joo","given":"Yoonjung Yoonie"},{"family":"Pacheco","given":"Jennifer A."},{"family":"Thompson","given":"William K."},{"family":"Rasmussen-Torvik","given":"Laura J."},{"family":"Rasmussen","given":"Luke V."},{"family":"Lin","given":"Frederick T. J."},{"family":"Andrade","given":"Mariza","non-dropping-particle":"de"},{"family":"Borthwick","given":"Kenneth M."},{"family":"Bottinger","given":"Erwin"},{"family":"Cagan","given":"Andrew"},{"family":"Carrell","given":"David S."},{"family":"Denny","given":"Joshua C."},{"family":"Ellis","given":"Stephen B."},{"family":"Gottesman","given":"Omri"},{"family":"Linneman","given":"James G."},{"family":"Pathak","given":"Jyotishman"},{"family":"Peissig","given":"Peggy L."},{"family":"Shang","given":"Ning"},{"family":"Tromp","given":"Gerard"},{"family":"Veerappan","given":"Annapoorani"},{"family":"Smith","given":"Maureen E."},{"family":"Chisholm","given":"Rex L."},{"family":"Gawron","given":"Andrew J."},{"family":"Hayes","given":"M. Geoffrey"},{"family":"Kho","given":"Abel N."}],"issued":{"date-parts":[["2023",5,17]]}}}],"schema":"https://github.com/citation-style-language/schema/raw/master/csl-citation.json"} </w:instrText>
      </w:r>
      <w:r w:rsidR="00CE485E">
        <w:fldChar w:fldCharType="separate"/>
      </w:r>
      <w:r w:rsidR="00CE485E" w:rsidRPr="00CE485E">
        <w:rPr>
          <w:rFonts w:ascii="Calibri" w:hAnsi="Calibri" w:cs="Calibri"/>
          <w:kern w:val="0"/>
          <w:szCs w:val="24"/>
          <w:vertAlign w:val="superscript"/>
        </w:rPr>
        <w:t>2</w:t>
      </w:r>
      <w:r w:rsidR="00CE485E">
        <w:fldChar w:fldCharType="end"/>
      </w:r>
      <w:r w:rsidR="00CE485E">
        <w:t xml:space="preserve"> </w:t>
      </w:r>
      <w:r w:rsidR="00AF74ED">
        <w:t xml:space="preserve">in </w:t>
      </w:r>
      <w:r w:rsidR="00165955" w:rsidRPr="00165955">
        <w:t>defining</w:t>
      </w:r>
      <w:r w:rsidR="00AF74ED">
        <w:t xml:space="preserve"> </w:t>
      </w:r>
      <w:r w:rsidR="00AF74ED" w:rsidRPr="00AF74ED">
        <w:t>a reliable algorithm</w:t>
      </w:r>
      <w:r w:rsidR="00AF74ED">
        <w:t xml:space="preserve"> </w:t>
      </w:r>
      <w:r w:rsidR="00AF74ED" w:rsidRPr="00AF74ED">
        <w:t>for differentiating cases of any diverticular disease from controls of no diverticular disease.</w:t>
      </w:r>
      <w:r w:rsidR="00AC7147">
        <w:t xml:space="preserve"> </w:t>
      </w:r>
      <w:r w:rsidR="00BD50E2">
        <w:t>There is a</w:t>
      </w:r>
      <w:r w:rsidR="00796726">
        <w:t xml:space="preserve">lso a </w:t>
      </w:r>
      <w:r w:rsidR="00BD50E2">
        <w:t xml:space="preserve">need </w:t>
      </w:r>
      <w:r w:rsidR="00497D49">
        <w:t>for</w:t>
      </w:r>
      <w:r w:rsidR="00BD50E2">
        <w:t xml:space="preserve"> </w:t>
      </w:r>
      <w:r w:rsidR="00492524">
        <w:t>categoriz</w:t>
      </w:r>
      <w:r w:rsidR="00497D49">
        <w:t>ing</w:t>
      </w:r>
      <w:r w:rsidR="00492524">
        <w:t xml:space="preserve"> </w:t>
      </w:r>
      <w:r w:rsidR="00495F0B">
        <w:t xml:space="preserve">disease </w:t>
      </w:r>
      <w:r w:rsidR="00BD50E2">
        <w:t xml:space="preserve">severities. </w:t>
      </w:r>
      <w:r w:rsidR="00D74421">
        <w:t xml:space="preserve">The introduction of ICD-10 codes provided a mechanism </w:t>
      </w:r>
      <w:r w:rsidR="001066A2">
        <w:t xml:space="preserve">via </w:t>
      </w:r>
      <w:r w:rsidR="00D74421">
        <w:t xml:space="preserve">sub-codes to identify </w:t>
      </w:r>
      <w:r w:rsidR="00495F0B">
        <w:t xml:space="preserve">diverticular </w:t>
      </w:r>
      <w:r w:rsidR="00D74421">
        <w:t>disease complications</w:t>
      </w:r>
      <w:r w:rsidR="006B4576">
        <w:t xml:space="preserve">, but </w:t>
      </w:r>
      <w:r w:rsidR="00D0177F">
        <w:t>performance has been highly variable.</w:t>
      </w:r>
      <w:r w:rsidR="00D0177F">
        <w:fldChar w:fldCharType="begin"/>
      </w:r>
      <w:r w:rsidR="00D0177F">
        <w:instrText xml:space="preserve"> ADDIN ZOTERO_ITEM CSL_CITATION {"citationID":"txFVPk8l","properties":{"formattedCitation":"\\super 3\\nosupersub{}","plainCitation":"3","noteIndex":0},"citationItems":[{"id":7411,"uris":["http://zotero.org/groups/5330247/items/X3Q2JD2I"],"itemData":{"id":7411,"type":"article-journal","abstract":"OBJECTIVE: To investigate the accuracy of diagnostic coding for diverticular disease in the Danish National Registry of Patients (NRP).\nSTUDY DESIGN AND SETTING: At Aalborg Hospital, Denmark, with a catchment area of 640,000 inhabitants, we identified 100 patients recorded in the NRP with a diagnosis of diverticular disease (International Classification of Disease codes, 10th revision [ICD-10] K572-K579) during the 1999-2008 period. We assessed the positive predictive value (PPV) as a measure of the accuracy of discharge codes for diverticular disease using information from discharge abstracts and outpatient notes as the reference standard.\nRESULTS: Of the 100 patients coded with diverticular disease, 49 had complicated diverticular disease, whereas 51 had uncomplicated diverticulosis. For the overall diagnosis of diverticular disease (K57), the PPV was 0.98 (95% confidence intervals [CIs]: 0.93, 0.99). For the more detailed subgroups of diagnosis indicating the presence or absence of complications (K573-K579) the PPVs ranged from 0.67 (95% CI: 0.09, 0.99) to 0.92 (95% CI: 0.52, 1.00). The diagnosis codes did not allow accurate identification of uncomplicated disease or any specific complication. However, the combined ICD-10 codes K572, K574, and K578 had a PPV of 0.91 (95% CI: 0.71, 0.99) for any complication.\nCONCLUSION: The diagnosis codes in the NRP can be used to identify patients with diverticular disease in general; however, they do not accurately discern patients with uncomplicated diverticulosis or with specific diverticular complications.","container-title":"Clinical and Experimental Gastroenterology","DOI":"10.2147/CEG.S13293","ISSN":"1178-7023","journalAbbreviation":"Clin Exp Gastroenterol","language":"eng","note":"PMID: 21694857\nPMCID: PMC3108666","page":"139-142","source":"PubMed","title":"Positive predictive values of the International Classification of Disease, 10th edition diagnoses codes for diverticular disease in the Danish National Registry of Patients","volume":"3","author":[{"family":"Erichsen","given":"Rune"},{"family":"Strate","given":"Lisa"},{"family":"Sørensen","given":"Henrik Toft"},{"family":"Baron","given":"John A."}],"issued":{"date-parts":[["2010"]]}}}],"schema":"https://github.com/citation-style-language/schema/raw/master/csl-citation.json"} </w:instrText>
      </w:r>
      <w:r w:rsidR="00D0177F">
        <w:fldChar w:fldCharType="separate"/>
      </w:r>
      <w:r w:rsidR="00D0177F" w:rsidRPr="00D0177F">
        <w:rPr>
          <w:rFonts w:ascii="Calibri" w:hAnsi="Calibri" w:cs="Calibri"/>
          <w:kern w:val="0"/>
          <w:szCs w:val="24"/>
          <w:vertAlign w:val="superscript"/>
        </w:rPr>
        <w:t>3</w:t>
      </w:r>
      <w:r w:rsidR="00D0177F">
        <w:fldChar w:fldCharType="end"/>
      </w:r>
      <w:r w:rsidR="00D0177F">
        <w:t xml:space="preserve"> </w:t>
      </w:r>
      <w:r w:rsidR="009540C0">
        <w:t xml:space="preserve">An alternative framework is available from </w:t>
      </w:r>
      <w:r w:rsidR="00D0177F">
        <w:t>De Roo et al (2023)</w:t>
      </w:r>
      <w:r w:rsidR="00B35248">
        <w:fldChar w:fldCharType="begin"/>
      </w:r>
      <w:r w:rsidR="00B35248">
        <w:instrText xml:space="preserve"> ADDIN ZOTERO_ITEM CSL_CITATION {"citationID":"huuSAlJ0","properties":{"formattedCitation":"\\super 4\\nosupersub{}","plainCitation":"4","noteIndex":0},"citationItems":[{"id":7701,"uris":["http://zotero.org/groups/5330247/items/WQ8EWD4Q"],"itemData":{"id":7701,"type":"article-journal","abstract":"OBJECTIVE: To derive and validate a polygenic risk score (PRS) to predict the occurrence and severity of diverticulitis and to understand the potential for incorporation of a PRS in current decision-making.\nBACKGROUND: PRS quantifies genetic variation into a continuous measure of risk. There is a need for improved risk stratification to guide surgical decision-making that could be fulfilled by PRS. It is unknown how surgeons might integrate PRS in decision-making.\nMETHODS: We derived a PRS with 44 single-nucleotide polymorphisms associated with diverticular disease in the UK Biobank and validated this score in the Michigan Genomics Initiative (MGI). We performed a discrete choice experiment of practicing colorectal surgeons. Surgeons rated the influence of clinical factors and a hypothetical polygenic risk prediction tool.\nRESULTS: Among 2812 MGI participants with diverticular disease, 1964 were asymptomatic, 574 had mild disease, and 274 had severe disease. PRS was associated with occurrence and severity. Patients in the highest PRS decile were more likely to have diverticulitis [odds ratio (OR)=1.84; 95% confidence interval (CI), 1.42-2.38)] and more likely to have severe diverticulitis (OR=1.61; 95% CI, 1.04-2.51) than the bottom 50%. Among 213 surveyed surgeons, extreme disease-specific factors had the largest utility (3 episodes in the last year, +74.4; percutaneous drain, + 69.4). Factors with strongest influence against surgery included 1 lifetime episode (-63.3), outpatient management (-54.9), and patient preference (-39.6). PRS was predicted to have high utility (+71).\nCONCLUSIONS: A PRS derived from a large national biobank was externally validated, and found to be associated with the incidence and severity of diverticulitis. Surgeons have clear guidance at clinical extremes, but demonstrate equipoise in intermediate scenarios. Surgeons are receptive to PRS, which may be most useful in marginal clinical situations. Given the current lack of accurate prognostication in recurrent diverticulitis, PRS may provide a novel approach for improving patient counseling and decision-making.","container-title":"Annals of Surgery","DOI":"10.1097/SLA.0000000000005623","ISSN":"1528-1140","issue":"6","journalAbbreviation":"Ann Surg","language":"eng","note":"PMID: 35876359","page":"e1262-e1268","source":"PubMed","title":"Polygenic Risk Prediction in Diverticulitis","volume":"277","author":[{"family":"De Roo","given":"Ana C."},{"family":"Chen","given":"Yanhua"},{"family":"Du","given":"Xiaomeng"},{"family":"Handelman","given":"Samuel"},{"family":"Byrnes","given":"Mary"},{"family":"Regenbogen","given":"Scott E."},{"family":"Speliotes","given":"Elizabeth K."},{"family":"Maguire","given":"Lillias H."}],"issued":{"date-parts":[["2023",6,1]]}}}],"schema":"https://github.com/citation-style-language/schema/raw/master/csl-citation.json"} </w:instrText>
      </w:r>
      <w:r w:rsidR="00B35248">
        <w:fldChar w:fldCharType="separate"/>
      </w:r>
      <w:r w:rsidR="00B35248" w:rsidRPr="00B35248">
        <w:rPr>
          <w:rFonts w:ascii="Calibri" w:hAnsi="Calibri" w:cs="Calibri"/>
          <w:kern w:val="0"/>
          <w:szCs w:val="24"/>
          <w:vertAlign w:val="superscript"/>
        </w:rPr>
        <w:t>4</w:t>
      </w:r>
      <w:r w:rsidR="00B35248">
        <w:fldChar w:fldCharType="end"/>
      </w:r>
      <w:r w:rsidR="003055A9">
        <w:t xml:space="preserve"> </w:t>
      </w:r>
      <w:r w:rsidR="009540C0">
        <w:t>who approximate the severity spectrum through the lens of operative disease, recurrent inpatient admissions, or outpatient encounters</w:t>
      </w:r>
      <w:r w:rsidR="00B35248">
        <w:t>.</w:t>
      </w:r>
    </w:p>
    <w:p w14:paraId="03041986" w14:textId="4BE389F0" w:rsidR="00B33595" w:rsidRDefault="00B35248" w:rsidP="00BF47EB">
      <w:r>
        <w:t xml:space="preserve">This work intended to unify </w:t>
      </w:r>
      <w:r w:rsidR="007B4018">
        <w:t>existing</w:t>
      </w:r>
      <w:r>
        <w:t xml:space="preserve"> </w:t>
      </w:r>
      <w:r w:rsidR="007040EC">
        <w:t xml:space="preserve">rule-based </w:t>
      </w:r>
      <w:r w:rsidR="009E0B38">
        <w:t xml:space="preserve">strategies </w:t>
      </w:r>
      <w:r w:rsidR="007B4018">
        <w:t xml:space="preserve">for categorizing diverticular disease </w:t>
      </w:r>
      <w:r w:rsidR="009E0B38">
        <w:t>in electronic medical record</w:t>
      </w:r>
      <w:r w:rsidR="007040EC">
        <w:t xml:space="preserve"> cohorts</w:t>
      </w:r>
      <w:r w:rsidR="009E0B38">
        <w:t xml:space="preserve"> </w:t>
      </w:r>
      <w:r w:rsidR="008367C6">
        <w:t xml:space="preserve">and apply them to </w:t>
      </w:r>
      <w:r w:rsidR="00770DA5">
        <w:t>colonic diverticular disease</w:t>
      </w:r>
      <w:r w:rsidR="007B4018">
        <w:t xml:space="preserve">. </w:t>
      </w:r>
    </w:p>
    <w:p w14:paraId="46CEADCE" w14:textId="496F288D" w:rsidR="00CE485E" w:rsidRDefault="003F717E" w:rsidP="00501173">
      <w:pPr>
        <w:pStyle w:val="Heading3"/>
      </w:pPr>
      <w:r>
        <w:t>Algorithm Description</w:t>
      </w:r>
    </w:p>
    <w:p w14:paraId="360C415A" w14:textId="0D08FB7E" w:rsidR="00997BB4" w:rsidRDefault="00A722E9" w:rsidP="00501173">
      <w:r>
        <w:t>A flowchart of the algorithm is shown in Figure 1</w:t>
      </w:r>
      <w:r w:rsidR="00F74A5E">
        <w:t xml:space="preserve"> with accompanying descriptions in Table 1</w:t>
      </w:r>
      <w:r>
        <w:t xml:space="preserve">. </w:t>
      </w:r>
      <w:r w:rsidR="00E256CD">
        <w:t xml:space="preserve">Of note, this algorithm captures colonic diverticular disease, </w:t>
      </w:r>
      <w:r w:rsidR="00A91A37">
        <w:t xml:space="preserve">and extensions to </w:t>
      </w:r>
      <w:r w:rsidR="00E256CD">
        <w:t xml:space="preserve">small bowel diverticular disease </w:t>
      </w:r>
      <w:r w:rsidR="00A91A37">
        <w:t>would need to revise the inclusion code list.</w:t>
      </w:r>
      <w:r w:rsidR="009F57A9">
        <w:t xml:space="preserve"> A list of diagnostic and procedure codes can be found in the attached Data Dictionary excel file.</w:t>
      </w:r>
      <w:r w:rsidR="00A91A37">
        <w:t xml:space="preserve"> </w:t>
      </w:r>
      <w:r>
        <w:t xml:space="preserve">To separate cases of diverticular disease from controls with no diverticular disease, </w:t>
      </w:r>
      <w:r w:rsidR="00B62787">
        <w:t>w</w:t>
      </w:r>
      <w:r>
        <w:t xml:space="preserve">e adopt Pacheco &amp; Thompson’s non-NLP algorithm </w:t>
      </w:r>
      <w:r w:rsidR="009A1076">
        <w:t xml:space="preserve">with </w:t>
      </w:r>
      <w:r w:rsidR="00227F14">
        <w:t>the addition</w:t>
      </w:r>
      <w:r w:rsidR="009A1076">
        <w:t xml:space="preserve"> of</w:t>
      </w:r>
      <w:r w:rsidR="00A91A37">
        <w:t xml:space="preserve"> ICD-10 codes.</w:t>
      </w:r>
      <w:r w:rsidR="00227F14">
        <w:t xml:space="preserve"> Further division of the cases into sub-phenotypes is completed in a manner analogous to </w:t>
      </w:r>
      <w:r w:rsidR="003450B5">
        <w:t>the efforts from De Roo et al (2023)</w:t>
      </w:r>
      <w:r w:rsidR="003450B5">
        <w:fldChar w:fldCharType="begin"/>
      </w:r>
      <w:r w:rsidR="003450B5">
        <w:instrText xml:space="preserve"> ADDIN ZOTERO_ITEM CSL_CITATION {"citationID":"huuSAlJ0","properties":{"formattedCitation":"\\super 4\\nosupersub{}","plainCitation":"4","noteIndex":0},"citationItems":[{"id":7701,"uris":["http://zotero.org/groups/5330247/items/WQ8EWD4Q"],"itemData":{"id":7701,"type":"article-journal","abstract":"OBJECTIVE: To derive and validate a polygenic risk score (PRS) to predict the occurrence and severity of diverticulitis and to understand the potential for incorporation of a PRS in current decision-making.\nBACKGROUND: PRS quantifies genetic variation into a continuous measure of risk. There is a need for improved risk stratification to guide surgical decision-making that could be fulfilled by PRS. It is unknown how surgeons might integrate PRS in decision-making.\nMETHODS: We derived a PRS with 44 single-nucleotide polymorphisms associated with diverticular disease in the UK Biobank and validated this score in the Michigan Genomics Initiative (MGI). We performed a discrete choice experiment of practicing colorectal surgeons. Surgeons rated the influence of clinical factors and a hypothetical polygenic risk prediction tool.\nRESULTS: Among 2812 MGI participants with diverticular disease, 1964 were asymptomatic, 574 had mild disease, and 274 had severe disease. PRS was associated with occurrence and severity. Patients in the highest PRS decile were more likely to have diverticulitis [odds ratio (OR)=1.84; 95% confidence interval (CI), 1.42-2.38)] and more likely to have severe diverticulitis (OR=1.61; 95% CI, 1.04-2.51) than the bottom 50%. Among 213 surveyed surgeons, extreme disease-specific factors had the largest utility (3 episodes in the last year, +74.4; percutaneous drain, + 69.4). Factors with strongest influence against surgery included 1 lifetime episode (-63.3), outpatient management (-54.9), and patient preference (-39.6). PRS was predicted to have high utility (+71).\nCONCLUSIONS: A PRS derived from a large national biobank was externally validated, and found to be associated with the incidence and severity of diverticulitis. Surgeons have clear guidance at clinical extremes, but demonstrate equipoise in intermediate scenarios. Surgeons are receptive to PRS, which may be most useful in marginal clinical situations. Given the current lack of accurate prognostication in recurrent diverticulitis, PRS may provide a novel approach for improving patient counseling and decision-making.","container-title":"Annals of Surgery","DOI":"10.1097/SLA.0000000000005623","ISSN":"1528-1140","issue":"6","journalAbbreviation":"Ann Surg","language":"eng","note":"PMID: 35876359","page":"e1262-e1268","source":"PubMed","title":"Polygenic Risk Prediction in Diverticulitis","volume":"277","author":[{"family":"De Roo","given":"Ana C."},{"family":"Chen","given":"Yanhua"},{"family":"Du","given":"Xiaomeng"},{"family":"Handelman","given":"Samuel"},{"family":"Byrnes","given":"Mary"},{"family":"Regenbogen","given":"Scott E."},{"family":"Speliotes","given":"Elizabeth K."},{"family":"Maguire","given":"Lillias H."}],"issued":{"date-parts":[["2023",6,1]]}}}],"schema":"https://github.com/citation-style-language/schema/raw/master/csl-citation.json"} </w:instrText>
      </w:r>
      <w:r w:rsidR="003450B5">
        <w:fldChar w:fldCharType="separate"/>
      </w:r>
      <w:r w:rsidR="003450B5" w:rsidRPr="00B35248">
        <w:rPr>
          <w:rFonts w:ascii="Calibri" w:hAnsi="Calibri" w:cs="Calibri"/>
          <w:kern w:val="0"/>
          <w:szCs w:val="24"/>
          <w:vertAlign w:val="superscript"/>
        </w:rPr>
        <w:t>4</w:t>
      </w:r>
      <w:r w:rsidR="003450B5">
        <w:fldChar w:fldCharType="end"/>
      </w:r>
      <w:r w:rsidR="003450B5">
        <w:t xml:space="preserve">. </w:t>
      </w:r>
      <w:r w:rsidR="009E25CC">
        <w:t>The algorithm was implemented in a deidentified institutional medical records repository, Vanderbilt’s Synthetic Derivative</w:t>
      </w:r>
      <w:r w:rsidR="003675DB">
        <w:t xml:space="preserve"> along with plausible variations. Specifically, we </w:t>
      </w:r>
      <w:r w:rsidR="00544F77">
        <w:t xml:space="preserve">considered requirement of a diverticular disease antibiotic prescription for the assignment of mild diverticulitis as well as broadening the range of </w:t>
      </w:r>
      <w:r w:rsidR="00AE13A6">
        <w:t>days between diverticular disease ICD9/10 code and CT scan / lower GI scope code from 7 to 30 days</w:t>
      </w:r>
      <w:r w:rsidR="00C00DBA">
        <w:t>.</w:t>
      </w:r>
      <w:r w:rsidR="00AE13A6">
        <w:t xml:space="preserve">  </w:t>
      </w:r>
    </w:p>
    <w:p w14:paraId="48CD754C" w14:textId="77777777" w:rsidR="00227F14" w:rsidRDefault="00227F14" w:rsidP="00501173"/>
    <w:p w14:paraId="42189357" w14:textId="6A5998B2" w:rsidR="00C00DBA" w:rsidRPr="00C00DBA" w:rsidRDefault="00C00DBA" w:rsidP="00C00DBA">
      <w:pPr>
        <w:pStyle w:val="Caption"/>
        <w:keepNext/>
        <w:rPr>
          <w:color w:val="auto"/>
          <w:sz w:val="24"/>
          <w:szCs w:val="24"/>
        </w:rPr>
      </w:pPr>
      <w:r w:rsidRPr="00C00DBA">
        <w:rPr>
          <w:color w:val="auto"/>
          <w:sz w:val="24"/>
          <w:szCs w:val="24"/>
        </w:rPr>
        <w:lastRenderedPageBreak/>
        <w:t xml:space="preserve">Figure </w:t>
      </w:r>
      <w:r w:rsidRPr="00C00DBA">
        <w:rPr>
          <w:color w:val="auto"/>
          <w:sz w:val="24"/>
          <w:szCs w:val="24"/>
        </w:rPr>
        <w:fldChar w:fldCharType="begin"/>
      </w:r>
      <w:r w:rsidRPr="00C00DBA">
        <w:rPr>
          <w:color w:val="auto"/>
          <w:sz w:val="24"/>
          <w:szCs w:val="24"/>
        </w:rPr>
        <w:instrText xml:space="preserve"> SEQ Figure \* ARABIC </w:instrText>
      </w:r>
      <w:r w:rsidRPr="00C00DBA">
        <w:rPr>
          <w:color w:val="auto"/>
          <w:sz w:val="24"/>
          <w:szCs w:val="24"/>
        </w:rPr>
        <w:fldChar w:fldCharType="separate"/>
      </w:r>
      <w:r w:rsidRPr="00C00DBA">
        <w:rPr>
          <w:noProof/>
          <w:color w:val="auto"/>
          <w:sz w:val="24"/>
          <w:szCs w:val="24"/>
        </w:rPr>
        <w:t>1</w:t>
      </w:r>
      <w:r w:rsidRPr="00C00DBA">
        <w:rPr>
          <w:color w:val="auto"/>
          <w:sz w:val="24"/>
          <w:szCs w:val="24"/>
        </w:rPr>
        <w:fldChar w:fldCharType="end"/>
      </w:r>
    </w:p>
    <w:p w14:paraId="3EDCD383" w14:textId="353EE46A" w:rsidR="00F74A5E" w:rsidRDefault="00F74A5E" w:rsidP="00501173">
      <w:r>
        <w:rPr>
          <w:noProof/>
        </w:rPr>
        <w:drawing>
          <wp:inline distT="0" distB="0" distL="0" distR="0" wp14:anchorId="166F6286" wp14:editId="36E29360">
            <wp:extent cx="5030997" cy="6482131"/>
            <wp:effectExtent l="0" t="0" r="0" b="0"/>
            <wp:docPr id="1201547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547399"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030997" cy="6482131"/>
                    </a:xfrm>
                    <a:prstGeom prst="rect">
                      <a:avLst/>
                    </a:prstGeom>
                  </pic:spPr>
                </pic:pic>
              </a:graphicData>
            </a:graphic>
          </wp:inline>
        </w:drawing>
      </w:r>
    </w:p>
    <w:p w14:paraId="1F6480DA" w14:textId="0984DA9B" w:rsidR="00C00DBA" w:rsidRDefault="00A91A37" w:rsidP="00501173">
      <w:r>
        <w:t xml:space="preserve"> </w:t>
      </w:r>
    </w:p>
    <w:p w14:paraId="48C32A6D" w14:textId="77777777" w:rsidR="00C00DBA" w:rsidRDefault="00C00DBA">
      <w:r>
        <w:br w:type="page"/>
      </w:r>
    </w:p>
    <w:tbl>
      <w:tblPr>
        <w:tblStyle w:val="TableGrid"/>
        <w:tblW w:w="10255" w:type="dxa"/>
        <w:tblLook w:val="04A0" w:firstRow="1" w:lastRow="0" w:firstColumn="1" w:lastColumn="0" w:noHBand="0" w:noVBand="1"/>
      </w:tblPr>
      <w:tblGrid>
        <w:gridCol w:w="1345"/>
        <w:gridCol w:w="2069"/>
        <w:gridCol w:w="5256"/>
        <w:gridCol w:w="1585"/>
      </w:tblGrid>
      <w:tr w:rsidR="00227F14" w14:paraId="10D5A8F3" w14:textId="77777777" w:rsidTr="00783A72">
        <w:tc>
          <w:tcPr>
            <w:tcW w:w="10255" w:type="dxa"/>
            <w:gridSpan w:val="4"/>
            <w:tcBorders>
              <w:top w:val="nil"/>
              <w:left w:val="nil"/>
              <w:bottom w:val="nil"/>
              <w:right w:val="nil"/>
            </w:tcBorders>
          </w:tcPr>
          <w:p w14:paraId="6DAFEAF5" w14:textId="43CB17B9" w:rsidR="00227F14" w:rsidRPr="00F74A5E" w:rsidRDefault="00227F14" w:rsidP="00227F14">
            <w:pPr>
              <w:rPr>
                <w:b/>
                <w:bCs/>
                <w:i/>
                <w:iCs/>
              </w:rPr>
            </w:pPr>
            <w:r w:rsidRPr="00F74A5E">
              <w:rPr>
                <w:i/>
                <w:iCs/>
                <w:sz w:val="24"/>
                <w:szCs w:val="24"/>
              </w:rPr>
              <w:lastRenderedPageBreak/>
              <w:t xml:space="preserve">Table </w:t>
            </w:r>
            <w:r w:rsidRPr="00F74A5E">
              <w:rPr>
                <w:i/>
                <w:iCs/>
                <w:sz w:val="24"/>
                <w:szCs w:val="24"/>
              </w:rPr>
              <w:fldChar w:fldCharType="begin"/>
            </w:r>
            <w:r w:rsidRPr="00F74A5E">
              <w:rPr>
                <w:i/>
                <w:iCs/>
                <w:sz w:val="24"/>
                <w:szCs w:val="24"/>
              </w:rPr>
              <w:instrText xml:space="preserve"> SEQ Table \* ARABIC </w:instrText>
            </w:r>
            <w:r w:rsidRPr="00F74A5E">
              <w:rPr>
                <w:i/>
                <w:iCs/>
                <w:sz w:val="24"/>
                <w:szCs w:val="24"/>
              </w:rPr>
              <w:fldChar w:fldCharType="separate"/>
            </w:r>
            <w:r w:rsidR="003450B5">
              <w:rPr>
                <w:i/>
                <w:iCs/>
                <w:noProof/>
                <w:sz w:val="24"/>
                <w:szCs w:val="24"/>
              </w:rPr>
              <w:t>1</w:t>
            </w:r>
            <w:r w:rsidRPr="00F74A5E">
              <w:rPr>
                <w:i/>
                <w:iCs/>
                <w:sz w:val="24"/>
                <w:szCs w:val="24"/>
              </w:rPr>
              <w:fldChar w:fldCharType="end"/>
            </w:r>
          </w:p>
        </w:tc>
      </w:tr>
      <w:tr w:rsidR="00BF7964" w14:paraId="496122E4" w14:textId="77777777" w:rsidTr="00783A72">
        <w:tc>
          <w:tcPr>
            <w:tcW w:w="1345" w:type="dxa"/>
            <w:tcBorders>
              <w:top w:val="nil"/>
              <w:left w:val="nil"/>
              <w:bottom w:val="nil"/>
              <w:right w:val="nil"/>
            </w:tcBorders>
          </w:tcPr>
          <w:p w14:paraId="6FBF3423" w14:textId="77777777" w:rsidR="00227F14" w:rsidRPr="00997BB4" w:rsidRDefault="00227F14" w:rsidP="00227F14">
            <w:pPr>
              <w:rPr>
                <w:b/>
                <w:bCs/>
              </w:rPr>
            </w:pPr>
            <w:r w:rsidRPr="00997BB4">
              <w:rPr>
                <w:b/>
                <w:bCs/>
              </w:rPr>
              <w:t>Case-control Assignment</w:t>
            </w:r>
          </w:p>
        </w:tc>
        <w:tc>
          <w:tcPr>
            <w:tcW w:w="2069" w:type="dxa"/>
            <w:tcBorders>
              <w:top w:val="nil"/>
              <w:left w:val="nil"/>
              <w:bottom w:val="nil"/>
              <w:right w:val="nil"/>
            </w:tcBorders>
          </w:tcPr>
          <w:p w14:paraId="154015F5" w14:textId="77777777" w:rsidR="00227F14" w:rsidRPr="00997BB4" w:rsidRDefault="00227F14" w:rsidP="00227F14">
            <w:pPr>
              <w:rPr>
                <w:b/>
                <w:bCs/>
              </w:rPr>
            </w:pPr>
            <w:r w:rsidRPr="00997BB4">
              <w:rPr>
                <w:b/>
                <w:bCs/>
              </w:rPr>
              <w:t>Sub</w:t>
            </w:r>
            <w:r>
              <w:rPr>
                <w:b/>
                <w:bCs/>
              </w:rPr>
              <w:t>-</w:t>
            </w:r>
            <w:r w:rsidRPr="00997BB4">
              <w:rPr>
                <w:b/>
                <w:bCs/>
              </w:rPr>
              <w:t>phenotype Assignment</w:t>
            </w:r>
          </w:p>
        </w:tc>
        <w:tc>
          <w:tcPr>
            <w:tcW w:w="5256" w:type="dxa"/>
            <w:tcBorders>
              <w:top w:val="nil"/>
              <w:left w:val="nil"/>
              <w:bottom w:val="nil"/>
              <w:right w:val="nil"/>
            </w:tcBorders>
          </w:tcPr>
          <w:p w14:paraId="56971991" w14:textId="77777777" w:rsidR="00227F14" w:rsidRPr="00997BB4" w:rsidRDefault="00227F14" w:rsidP="00227F14">
            <w:pPr>
              <w:rPr>
                <w:b/>
                <w:bCs/>
              </w:rPr>
            </w:pPr>
            <w:r>
              <w:rPr>
                <w:b/>
                <w:bCs/>
              </w:rPr>
              <w:t xml:space="preserve">Individual </w:t>
            </w:r>
            <w:r w:rsidRPr="00997BB4">
              <w:rPr>
                <w:b/>
                <w:bCs/>
              </w:rPr>
              <w:t>Criteria</w:t>
            </w:r>
          </w:p>
        </w:tc>
        <w:tc>
          <w:tcPr>
            <w:tcW w:w="1585" w:type="dxa"/>
            <w:tcBorders>
              <w:top w:val="nil"/>
              <w:left w:val="nil"/>
              <w:bottom w:val="nil"/>
              <w:right w:val="nil"/>
            </w:tcBorders>
          </w:tcPr>
          <w:p w14:paraId="7DBCA70A" w14:textId="6F9E018B" w:rsidR="00227F14" w:rsidRPr="00997BB4" w:rsidRDefault="00BF7964" w:rsidP="00227F14">
            <w:pPr>
              <w:rPr>
                <w:b/>
                <w:bCs/>
              </w:rPr>
            </w:pPr>
            <w:r>
              <w:rPr>
                <w:b/>
                <w:bCs/>
              </w:rPr>
              <w:t>Criteria r</w:t>
            </w:r>
            <w:r w:rsidR="00227F14">
              <w:rPr>
                <w:b/>
                <w:bCs/>
              </w:rPr>
              <w:t>elationship for inclusion</w:t>
            </w:r>
          </w:p>
        </w:tc>
      </w:tr>
      <w:tr w:rsidR="00BF7964" w14:paraId="641AC9AD" w14:textId="77777777" w:rsidTr="00783A72">
        <w:tc>
          <w:tcPr>
            <w:tcW w:w="1345" w:type="dxa"/>
            <w:tcBorders>
              <w:top w:val="nil"/>
              <w:left w:val="nil"/>
              <w:bottom w:val="nil"/>
              <w:right w:val="nil"/>
            </w:tcBorders>
          </w:tcPr>
          <w:p w14:paraId="2E847333" w14:textId="77777777" w:rsidR="00227F14" w:rsidRDefault="00227F14" w:rsidP="00227F14">
            <w:r>
              <w:t>Control</w:t>
            </w:r>
          </w:p>
        </w:tc>
        <w:tc>
          <w:tcPr>
            <w:tcW w:w="2069" w:type="dxa"/>
            <w:tcBorders>
              <w:top w:val="nil"/>
              <w:left w:val="nil"/>
              <w:bottom w:val="nil"/>
              <w:right w:val="nil"/>
            </w:tcBorders>
          </w:tcPr>
          <w:p w14:paraId="2A44345C" w14:textId="77777777" w:rsidR="00227F14" w:rsidRDefault="00227F14" w:rsidP="00227F14">
            <w:r>
              <w:t>Control</w:t>
            </w:r>
          </w:p>
        </w:tc>
        <w:tc>
          <w:tcPr>
            <w:tcW w:w="5256" w:type="dxa"/>
            <w:tcBorders>
              <w:top w:val="nil"/>
              <w:left w:val="nil"/>
              <w:bottom w:val="nil"/>
              <w:right w:val="nil"/>
            </w:tcBorders>
          </w:tcPr>
          <w:p w14:paraId="1599762E" w14:textId="77777777" w:rsidR="00227F14" w:rsidRDefault="00227F14" w:rsidP="00227F14">
            <w:pPr>
              <w:pStyle w:val="ListParagraph"/>
              <w:numPr>
                <w:ilvl w:val="0"/>
                <w:numId w:val="3"/>
              </w:numPr>
            </w:pPr>
            <w:r>
              <w:t>One or more lower GI scope procedures</w:t>
            </w:r>
          </w:p>
          <w:p w14:paraId="3B578480" w14:textId="77777777" w:rsidR="00227F14" w:rsidRDefault="00227F14" w:rsidP="00227F14">
            <w:pPr>
              <w:pStyle w:val="ListParagraph"/>
              <w:numPr>
                <w:ilvl w:val="0"/>
                <w:numId w:val="3"/>
              </w:numPr>
            </w:pPr>
            <w:r w:rsidRPr="003C48EE">
              <w:t>No ICD9/10 codes</w:t>
            </w:r>
            <w:r>
              <w:t xml:space="preserve"> for diverticulosis or diverticulitis</w:t>
            </w:r>
          </w:p>
        </w:tc>
        <w:tc>
          <w:tcPr>
            <w:tcW w:w="1585" w:type="dxa"/>
            <w:tcBorders>
              <w:top w:val="nil"/>
              <w:left w:val="nil"/>
              <w:bottom w:val="nil"/>
              <w:right w:val="nil"/>
            </w:tcBorders>
          </w:tcPr>
          <w:p w14:paraId="2782E869" w14:textId="77777777" w:rsidR="00227F14" w:rsidRDefault="00227F14" w:rsidP="00227F14">
            <w:r>
              <w:t>1 AND 2</w:t>
            </w:r>
          </w:p>
        </w:tc>
      </w:tr>
      <w:tr w:rsidR="00BF7964" w14:paraId="4C4EDEA8" w14:textId="77777777" w:rsidTr="00783A72">
        <w:tc>
          <w:tcPr>
            <w:tcW w:w="1345" w:type="dxa"/>
            <w:tcBorders>
              <w:top w:val="nil"/>
              <w:left w:val="nil"/>
              <w:bottom w:val="nil"/>
              <w:right w:val="nil"/>
            </w:tcBorders>
          </w:tcPr>
          <w:p w14:paraId="72B7E143" w14:textId="77777777" w:rsidR="00227F14" w:rsidRDefault="00227F14" w:rsidP="00227F14">
            <w:r>
              <w:t>Case</w:t>
            </w:r>
          </w:p>
        </w:tc>
        <w:tc>
          <w:tcPr>
            <w:tcW w:w="2069" w:type="dxa"/>
            <w:tcBorders>
              <w:top w:val="nil"/>
              <w:left w:val="nil"/>
              <w:bottom w:val="nil"/>
              <w:right w:val="nil"/>
            </w:tcBorders>
          </w:tcPr>
          <w:p w14:paraId="1349CB5E" w14:textId="77777777" w:rsidR="00227F14" w:rsidRDefault="00227F14" w:rsidP="00227F14">
            <w:r>
              <w:t>Any diverticular disease</w:t>
            </w:r>
          </w:p>
        </w:tc>
        <w:tc>
          <w:tcPr>
            <w:tcW w:w="5256" w:type="dxa"/>
            <w:tcBorders>
              <w:top w:val="nil"/>
              <w:left w:val="nil"/>
              <w:bottom w:val="nil"/>
              <w:right w:val="nil"/>
            </w:tcBorders>
          </w:tcPr>
          <w:p w14:paraId="110B8ABA" w14:textId="77777777" w:rsidR="00227F14" w:rsidRDefault="00227F14" w:rsidP="00227F14">
            <w:pPr>
              <w:pStyle w:val="ListParagraph"/>
              <w:numPr>
                <w:ilvl w:val="0"/>
                <w:numId w:val="4"/>
              </w:numPr>
            </w:pPr>
            <w:r>
              <w:t>One or more lower GI scope procedures</w:t>
            </w:r>
          </w:p>
          <w:p w14:paraId="02D5B02E" w14:textId="77777777" w:rsidR="00227F14" w:rsidRDefault="00227F14" w:rsidP="00227F14">
            <w:pPr>
              <w:pStyle w:val="ListParagraph"/>
              <w:numPr>
                <w:ilvl w:val="0"/>
                <w:numId w:val="4"/>
              </w:numPr>
            </w:pPr>
            <w:r>
              <w:t xml:space="preserve">One or more ICD9/10 codes for diverticulosis or diverticulitis </w:t>
            </w:r>
          </w:p>
          <w:p w14:paraId="5AD48770" w14:textId="77777777" w:rsidR="00227F14" w:rsidRDefault="00227F14" w:rsidP="00227F14">
            <w:pPr>
              <w:pStyle w:val="ListParagraph"/>
              <w:numPr>
                <w:ilvl w:val="0"/>
                <w:numId w:val="4"/>
              </w:numPr>
            </w:pPr>
            <w:r>
              <w:t>ICD9/10 code for diverticulosis or diverticulitis applied within 0-7 days after an abdominal CT scan or lower GI scope</w:t>
            </w:r>
          </w:p>
        </w:tc>
        <w:tc>
          <w:tcPr>
            <w:tcW w:w="1585" w:type="dxa"/>
            <w:tcBorders>
              <w:top w:val="nil"/>
              <w:left w:val="nil"/>
              <w:bottom w:val="nil"/>
              <w:right w:val="nil"/>
            </w:tcBorders>
          </w:tcPr>
          <w:p w14:paraId="265CAC68" w14:textId="77777777" w:rsidR="00227F14" w:rsidRDefault="00227F14" w:rsidP="00227F14">
            <w:r>
              <w:t>1 AND 2 AND 3</w:t>
            </w:r>
          </w:p>
        </w:tc>
      </w:tr>
      <w:tr w:rsidR="00BF7964" w14:paraId="36FAD066" w14:textId="77777777" w:rsidTr="00783A72">
        <w:tc>
          <w:tcPr>
            <w:tcW w:w="1345" w:type="dxa"/>
            <w:tcBorders>
              <w:top w:val="nil"/>
              <w:left w:val="nil"/>
              <w:bottom w:val="nil"/>
              <w:right w:val="nil"/>
            </w:tcBorders>
          </w:tcPr>
          <w:p w14:paraId="08C0BAD0" w14:textId="77777777" w:rsidR="00227F14" w:rsidRDefault="00227F14" w:rsidP="00227F14">
            <w:r>
              <w:t>Case</w:t>
            </w:r>
          </w:p>
        </w:tc>
        <w:tc>
          <w:tcPr>
            <w:tcW w:w="2069" w:type="dxa"/>
            <w:tcBorders>
              <w:top w:val="nil"/>
              <w:left w:val="nil"/>
              <w:bottom w:val="nil"/>
              <w:right w:val="nil"/>
            </w:tcBorders>
          </w:tcPr>
          <w:p w14:paraId="64CB60A1" w14:textId="269E3B18" w:rsidR="00227F14" w:rsidRDefault="008F5853" w:rsidP="00227F14">
            <w:r>
              <w:t>Operative or Recurrent Inpatient</w:t>
            </w:r>
            <w:r w:rsidR="00227F14">
              <w:t xml:space="preserve"> </w:t>
            </w:r>
            <w:r>
              <w:t>D</w:t>
            </w:r>
            <w:r w:rsidR="00227F14">
              <w:t>iverticulitis</w:t>
            </w:r>
          </w:p>
        </w:tc>
        <w:tc>
          <w:tcPr>
            <w:tcW w:w="5256" w:type="dxa"/>
            <w:tcBorders>
              <w:top w:val="nil"/>
              <w:left w:val="nil"/>
              <w:bottom w:val="nil"/>
              <w:right w:val="nil"/>
            </w:tcBorders>
          </w:tcPr>
          <w:p w14:paraId="6946DAA0" w14:textId="77777777" w:rsidR="00227F14" w:rsidRDefault="00227F14" w:rsidP="00227F14">
            <w:pPr>
              <w:pStyle w:val="ListParagraph"/>
              <w:numPr>
                <w:ilvl w:val="0"/>
                <w:numId w:val="5"/>
              </w:numPr>
            </w:pPr>
            <w:r>
              <w:t>Qualifies as a case of any diverticular disease</w:t>
            </w:r>
          </w:p>
          <w:p w14:paraId="5E3E19AB" w14:textId="77777777" w:rsidR="00227F14" w:rsidRDefault="00227F14" w:rsidP="00227F14">
            <w:pPr>
              <w:pStyle w:val="ListParagraph"/>
              <w:numPr>
                <w:ilvl w:val="0"/>
                <w:numId w:val="5"/>
              </w:numPr>
            </w:pPr>
            <w:r>
              <w:t xml:space="preserve">Two or more inpatient admissions associated with an </w:t>
            </w:r>
            <w:r w:rsidRPr="00665436">
              <w:t xml:space="preserve">ICD9/10 code </w:t>
            </w:r>
            <w:r>
              <w:t>f</w:t>
            </w:r>
            <w:r w:rsidRPr="00665436">
              <w:t>or diverticulitis</w:t>
            </w:r>
          </w:p>
          <w:p w14:paraId="0F6BA465" w14:textId="2EE1C79F" w:rsidR="00227F14" w:rsidRDefault="00227F14" w:rsidP="00227F14">
            <w:pPr>
              <w:pStyle w:val="ListParagraph"/>
              <w:numPr>
                <w:ilvl w:val="0"/>
                <w:numId w:val="5"/>
              </w:numPr>
            </w:pPr>
            <w:r>
              <w:t xml:space="preserve">At least one diverticulitis procedure </w:t>
            </w:r>
            <w:r w:rsidR="00F678F1">
              <w:t xml:space="preserve">during the same encounter </w:t>
            </w:r>
            <w:r>
              <w:t xml:space="preserve">as an </w:t>
            </w:r>
            <w:r w:rsidRPr="00665436">
              <w:t xml:space="preserve">ICD9/10 code </w:t>
            </w:r>
            <w:r>
              <w:t>f</w:t>
            </w:r>
            <w:r w:rsidRPr="00665436">
              <w:t>or diverticulitis</w:t>
            </w:r>
          </w:p>
          <w:p w14:paraId="2F8E600E" w14:textId="77777777" w:rsidR="00227F14" w:rsidRDefault="00227F14" w:rsidP="00227F14"/>
        </w:tc>
        <w:tc>
          <w:tcPr>
            <w:tcW w:w="1585" w:type="dxa"/>
            <w:tcBorders>
              <w:top w:val="nil"/>
              <w:left w:val="nil"/>
              <w:bottom w:val="nil"/>
              <w:right w:val="nil"/>
            </w:tcBorders>
          </w:tcPr>
          <w:p w14:paraId="0407B6C2" w14:textId="77777777" w:rsidR="00227F14" w:rsidRDefault="00227F14" w:rsidP="00227F14">
            <w:r>
              <w:t>1 AND (2 OR 3)</w:t>
            </w:r>
          </w:p>
        </w:tc>
      </w:tr>
      <w:tr w:rsidR="00BF7964" w14:paraId="2747B7A5" w14:textId="77777777" w:rsidTr="00783A72">
        <w:tc>
          <w:tcPr>
            <w:tcW w:w="1345" w:type="dxa"/>
            <w:tcBorders>
              <w:top w:val="nil"/>
              <w:left w:val="nil"/>
              <w:bottom w:val="nil"/>
              <w:right w:val="nil"/>
            </w:tcBorders>
          </w:tcPr>
          <w:p w14:paraId="4F199B11" w14:textId="77777777" w:rsidR="00227F14" w:rsidRDefault="00227F14" w:rsidP="00227F14">
            <w:r>
              <w:t>Case</w:t>
            </w:r>
          </w:p>
        </w:tc>
        <w:tc>
          <w:tcPr>
            <w:tcW w:w="2069" w:type="dxa"/>
            <w:tcBorders>
              <w:top w:val="nil"/>
              <w:left w:val="nil"/>
              <w:bottom w:val="nil"/>
              <w:right w:val="nil"/>
            </w:tcBorders>
          </w:tcPr>
          <w:p w14:paraId="245EB5FE" w14:textId="09D2FCA0" w:rsidR="00227F14" w:rsidRDefault="00227F14" w:rsidP="00227F14">
            <w:r>
              <w:t xml:space="preserve">Mild </w:t>
            </w:r>
            <w:r w:rsidR="008F5853">
              <w:t>D</w:t>
            </w:r>
            <w:r>
              <w:t>iverticulitis</w:t>
            </w:r>
          </w:p>
        </w:tc>
        <w:tc>
          <w:tcPr>
            <w:tcW w:w="5256" w:type="dxa"/>
            <w:tcBorders>
              <w:top w:val="nil"/>
              <w:left w:val="nil"/>
              <w:bottom w:val="nil"/>
              <w:right w:val="nil"/>
            </w:tcBorders>
          </w:tcPr>
          <w:p w14:paraId="60788A71" w14:textId="77777777" w:rsidR="00227F14" w:rsidRDefault="00227F14" w:rsidP="00227F14">
            <w:pPr>
              <w:pStyle w:val="ListParagraph"/>
              <w:numPr>
                <w:ilvl w:val="0"/>
                <w:numId w:val="6"/>
              </w:numPr>
            </w:pPr>
            <w:r>
              <w:t>Qualifies as a case of any diverticular disease</w:t>
            </w:r>
          </w:p>
          <w:p w14:paraId="0B640199" w14:textId="77777777" w:rsidR="00227F14" w:rsidRDefault="00227F14" w:rsidP="00227F14">
            <w:pPr>
              <w:pStyle w:val="ListParagraph"/>
              <w:numPr>
                <w:ilvl w:val="0"/>
                <w:numId w:val="6"/>
              </w:numPr>
            </w:pPr>
            <w:r>
              <w:t>At least one</w:t>
            </w:r>
            <w:r w:rsidRPr="00665436">
              <w:t xml:space="preserve"> ICD9/10 codes </w:t>
            </w:r>
            <w:r>
              <w:t>f</w:t>
            </w:r>
            <w:r w:rsidRPr="00665436">
              <w:t>or diverticulitis</w:t>
            </w:r>
          </w:p>
          <w:p w14:paraId="169DF751" w14:textId="77777777" w:rsidR="00227F14" w:rsidRDefault="00227F14" w:rsidP="00227F14">
            <w:pPr>
              <w:pStyle w:val="ListParagraph"/>
              <w:numPr>
                <w:ilvl w:val="0"/>
                <w:numId w:val="6"/>
              </w:numPr>
            </w:pPr>
            <w:r>
              <w:t>No more than 1 inpatient admission for diverticulitis</w:t>
            </w:r>
          </w:p>
          <w:p w14:paraId="4525A2C3" w14:textId="77777777" w:rsidR="00227F14" w:rsidRDefault="00227F14" w:rsidP="00227F14"/>
        </w:tc>
        <w:tc>
          <w:tcPr>
            <w:tcW w:w="1585" w:type="dxa"/>
            <w:tcBorders>
              <w:top w:val="nil"/>
              <w:left w:val="nil"/>
              <w:bottom w:val="nil"/>
              <w:right w:val="nil"/>
            </w:tcBorders>
          </w:tcPr>
          <w:p w14:paraId="4FE1DF7E" w14:textId="77777777" w:rsidR="00227F14" w:rsidRDefault="00227F14" w:rsidP="00227F14">
            <w:r>
              <w:t>1 AND 2 AND 3</w:t>
            </w:r>
          </w:p>
        </w:tc>
      </w:tr>
      <w:tr w:rsidR="00BF7964" w14:paraId="420050B8" w14:textId="77777777" w:rsidTr="00783A72">
        <w:tc>
          <w:tcPr>
            <w:tcW w:w="1345" w:type="dxa"/>
            <w:tcBorders>
              <w:top w:val="nil"/>
              <w:left w:val="nil"/>
              <w:bottom w:val="nil"/>
              <w:right w:val="nil"/>
            </w:tcBorders>
          </w:tcPr>
          <w:p w14:paraId="055D0ABD" w14:textId="77777777" w:rsidR="00227F14" w:rsidRDefault="00227F14" w:rsidP="00227F14">
            <w:r>
              <w:t>Case</w:t>
            </w:r>
          </w:p>
        </w:tc>
        <w:tc>
          <w:tcPr>
            <w:tcW w:w="2069" w:type="dxa"/>
            <w:tcBorders>
              <w:top w:val="nil"/>
              <w:left w:val="nil"/>
              <w:bottom w:val="nil"/>
              <w:right w:val="nil"/>
            </w:tcBorders>
          </w:tcPr>
          <w:p w14:paraId="5D71A74F" w14:textId="6609FD71" w:rsidR="00227F14" w:rsidRDefault="008F5853" w:rsidP="00227F14">
            <w:r>
              <w:t>D</w:t>
            </w:r>
            <w:r w:rsidR="00227F14">
              <w:t>iverticulosis</w:t>
            </w:r>
          </w:p>
        </w:tc>
        <w:tc>
          <w:tcPr>
            <w:tcW w:w="5256" w:type="dxa"/>
            <w:tcBorders>
              <w:top w:val="nil"/>
              <w:left w:val="nil"/>
              <w:bottom w:val="nil"/>
              <w:right w:val="nil"/>
            </w:tcBorders>
          </w:tcPr>
          <w:p w14:paraId="6C2C79CF" w14:textId="77777777" w:rsidR="00227F14" w:rsidRDefault="00227F14" w:rsidP="006237B0">
            <w:pPr>
              <w:pStyle w:val="ListParagraph"/>
              <w:numPr>
                <w:ilvl w:val="0"/>
                <w:numId w:val="7"/>
              </w:numPr>
            </w:pPr>
            <w:r>
              <w:t>Qualifies as a case of any diverticular disease</w:t>
            </w:r>
          </w:p>
          <w:p w14:paraId="07A1AE28" w14:textId="301D0E2D" w:rsidR="006237B0" w:rsidRDefault="006237B0" w:rsidP="006237B0">
            <w:pPr>
              <w:pStyle w:val="ListParagraph"/>
              <w:numPr>
                <w:ilvl w:val="0"/>
                <w:numId w:val="7"/>
              </w:numPr>
            </w:pPr>
            <w:r>
              <w:t>At least one</w:t>
            </w:r>
            <w:r w:rsidRPr="00665436">
              <w:t xml:space="preserve"> ICD9/10 codes </w:t>
            </w:r>
            <w:r>
              <w:t>f</w:t>
            </w:r>
            <w:r w:rsidRPr="00665436">
              <w:t xml:space="preserve">or </w:t>
            </w:r>
            <w:r>
              <w:t>diverticulosis</w:t>
            </w:r>
          </w:p>
          <w:p w14:paraId="0149DA90" w14:textId="77777777" w:rsidR="00227F14" w:rsidRDefault="00227F14" w:rsidP="006237B0">
            <w:pPr>
              <w:pStyle w:val="ListParagraph"/>
              <w:numPr>
                <w:ilvl w:val="0"/>
                <w:numId w:val="7"/>
              </w:numPr>
            </w:pPr>
            <w:r w:rsidRPr="00665436">
              <w:t xml:space="preserve">No ICD9/10 codes </w:t>
            </w:r>
            <w:r>
              <w:t>f</w:t>
            </w:r>
            <w:r w:rsidRPr="00665436">
              <w:t>or diverticulitis</w:t>
            </w:r>
          </w:p>
          <w:p w14:paraId="09526A35" w14:textId="77777777" w:rsidR="00227F14" w:rsidRDefault="00227F14" w:rsidP="006A1892"/>
        </w:tc>
        <w:tc>
          <w:tcPr>
            <w:tcW w:w="1585" w:type="dxa"/>
            <w:tcBorders>
              <w:top w:val="nil"/>
              <w:left w:val="nil"/>
              <w:bottom w:val="nil"/>
              <w:right w:val="nil"/>
            </w:tcBorders>
          </w:tcPr>
          <w:p w14:paraId="39C126F5" w14:textId="124C7F1B" w:rsidR="00227F14" w:rsidRDefault="00227F14" w:rsidP="006A1892">
            <w:r>
              <w:t>1 AND 2</w:t>
            </w:r>
            <w:r w:rsidR="006237B0">
              <w:t xml:space="preserve"> AND 3</w:t>
            </w:r>
          </w:p>
        </w:tc>
      </w:tr>
      <w:tr w:rsidR="00783A72" w14:paraId="3A73BEFB" w14:textId="77777777" w:rsidTr="0040669B">
        <w:tc>
          <w:tcPr>
            <w:tcW w:w="10255" w:type="dxa"/>
            <w:gridSpan w:val="4"/>
            <w:tcBorders>
              <w:top w:val="nil"/>
              <w:left w:val="nil"/>
              <w:bottom w:val="nil"/>
              <w:right w:val="nil"/>
            </w:tcBorders>
          </w:tcPr>
          <w:p w14:paraId="0C808B7C" w14:textId="3E112152" w:rsidR="00783A72" w:rsidRPr="00783A72" w:rsidRDefault="00783A72" w:rsidP="006A1892">
            <w:pPr>
              <w:rPr>
                <w:sz w:val="20"/>
                <w:szCs w:val="20"/>
              </w:rPr>
            </w:pPr>
            <w:r>
              <w:rPr>
                <w:sz w:val="20"/>
                <w:szCs w:val="20"/>
              </w:rPr>
              <w:t>ICD: International Classification of Disease</w:t>
            </w:r>
            <w:r w:rsidR="00E438D9">
              <w:rPr>
                <w:sz w:val="20"/>
                <w:szCs w:val="20"/>
              </w:rPr>
              <w:t>s</w:t>
            </w:r>
            <w:r>
              <w:rPr>
                <w:sz w:val="20"/>
                <w:szCs w:val="20"/>
              </w:rPr>
              <w:t xml:space="preserve">. </w:t>
            </w:r>
            <w:r w:rsidR="00E438D9">
              <w:rPr>
                <w:sz w:val="20"/>
                <w:szCs w:val="20"/>
              </w:rPr>
              <w:t>GI: Gastrointestinal. CT: computed tomography</w:t>
            </w:r>
          </w:p>
        </w:tc>
      </w:tr>
    </w:tbl>
    <w:p w14:paraId="6DEC4DBF" w14:textId="39A4FD64" w:rsidR="00BF7964" w:rsidRDefault="00BF7964" w:rsidP="00501173">
      <w:r>
        <w:br w:type="page"/>
      </w:r>
    </w:p>
    <w:p w14:paraId="3E42BE04" w14:textId="072BAD76" w:rsidR="00CE485E" w:rsidRDefault="00CE485E" w:rsidP="00CE485E">
      <w:pPr>
        <w:pStyle w:val="Heading3"/>
      </w:pPr>
      <w:r>
        <w:lastRenderedPageBreak/>
        <w:t>References</w:t>
      </w:r>
    </w:p>
    <w:p w14:paraId="578C47D8" w14:textId="77777777" w:rsidR="00B35248" w:rsidRPr="00B35248" w:rsidRDefault="00CE485E" w:rsidP="00B35248">
      <w:pPr>
        <w:pStyle w:val="Bibliography"/>
        <w:rPr>
          <w:rFonts w:ascii="Calibri" w:hAnsi="Calibri" w:cs="Calibri"/>
        </w:rPr>
      </w:pPr>
      <w:r>
        <w:fldChar w:fldCharType="begin"/>
      </w:r>
      <w:r>
        <w:instrText xml:space="preserve"> ADDIN ZOTERO_BIBL {"uncited":[],"omitted":[],"custom":[]} CSL_BIBLIOGRAPHY </w:instrText>
      </w:r>
      <w:r>
        <w:fldChar w:fldCharType="separate"/>
      </w:r>
      <w:r w:rsidR="00B35248" w:rsidRPr="00B35248">
        <w:rPr>
          <w:rFonts w:ascii="Calibri" w:hAnsi="Calibri" w:cs="Calibri"/>
        </w:rPr>
        <w:t>1.</w:t>
      </w:r>
      <w:r w:rsidR="00B35248" w:rsidRPr="00B35248">
        <w:rPr>
          <w:rFonts w:ascii="Calibri" w:hAnsi="Calibri" w:cs="Calibri"/>
        </w:rPr>
        <w:tab/>
        <w:t>Pacheco JenniferA, Thompson W. Diverticulosis and Diverticulitis. PheKB. Northwestern University The Feinberg School of Medicine. Accessed January 8, 2023. https://phekb.org/phenotype/diverticulosis-and-diverticulitis</w:t>
      </w:r>
    </w:p>
    <w:p w14:paraId="3BAD2075" w14:textId="77777777" w:rsidR="00B35248" w:rsidRPr="00B35248" w:rsidRDefault="00B35248" w:rsidP="00B35248">
      <w:pPr>
        <w:pStyle w:val="Bibliography"/>
        <w:rPr>
          <w:rFonts w:ascii="Calibri" w:hAnsi="Calibri" w:cs="Calibri"/>
        </w:rPr>
      </w:pPr>
      <w:r w:rsidRPr="00B35248">
        <w:rPr>
          <w:rFonts w:ascii="Calibri" w:hAnsi="Calibri" w:cs="Calibri"/>
        </w:rPr>
        <w:t>2.</w:t>
      </w:r>
      <w:r w:rsidRPr="00B35248">
        <w:rPr>
          <w:rFonts w:ascii="Calibri" w:hAnsi="Calibri" w:cs="Calibri"/>
        </w:rPr>
        <w:tab/>
        <w:t xml:space="preserve">Joo YY, Pacheco JA, Thompson WK, et al. Multi-ancestry genome- and phenome-wide association studies of diverticular disease in electronic health records with natural language processing enriched phenotyping algorithm. </w:t>
      </w:r>
      <w:r w:rsidRPr="00B35248">
        <w:rPr>
          <w:rFonts w:ascii="Calibri" w:hAnsi="Calibri" w:cs="Calibri"/>
          <w:i/>
          <w:iCs/>
        </w:rPr>
        <w:t>PLoS One</w:t>
      </w:r>
      <w:r w:rsidRPr="00B35248">
        <w:rPr>
          <w:rFonts w:ascii="Calibri" w:hAnsi="Calibri" w:cs="Calibri"/>
        </w:rPr>
        <w:t>. 2023;18(5):e0283553. doi:10.1371/journal.pone.0283553</w:t>
      </w:r>
    </w:p>
    <w:p w14:paraId="7BC2ED0F" w14:textId="77777777" w:rsidR="00B35248" w:rsidRPr="00B35248" w:rsidRDefault="00B35248" w:rsidP="00B35248">
      <w:pPr>
        <w:pStyle w:val="Bibliography"/>
        <w:rPr>
          <w:rFonts w:ascii="Calibri" w:hAnsi="Calibri" w:cs="Calibri"/>
        </w:rPr>
      </w:pPr>
      <w:r w:rsidRPr="00B35248">
        <w:rPr>
          <w:rFonts w:ascii="Calibri" w:hAnsi="Calibri" w:cs="Calibri"/>
        </w:rPr>
        <w:t>3.</w:t>
      </w:r>
      <w:r w:rsidRPr="00B35248">
        <w:rPr>
          <w:rFonts w:ascii="Calibri" w:hAnsi="Calibri" w:cs="Calibri"/>
        </w:rPr>
        <w:tab/>
        <w:t xml:space="preserve">Erichsen R, Strate L, Sørensen HT, Baron JA. Positive predictive values of the International Classification of Disease, 10th edition diagnoses codes for diverticular disease in the Danish National Registry of Patients. </w:t>
      </w:r>
      <w:r w:rsidRPr="00B35248">
        <w:rPr>
          <w:rFonts w:ascii="Calibri" w:hAnsi="Calibri" w:cs="Calibri"/>
          <w:i/>
          <w:iCs/>
        </w:rPr>
        <w:t>Clin Exp Gastroenterol</w:t>
      </w:r>
      <w:r w:rsidRPr="00B35248">
        <w:rPr>
          <w:rFonts w:ascii="Calibri" w:hAnsi="Calibri" w:cs="Calibri"/>
        </w:rPr>
        <w:t>. 2010;3:139-142. doi:10.2147/CEG.S13293</w:t>
      </w:r>
    </w:p>
    <w:p w14:paraId="000D6060" w14:textId="77777777" w:rsidR="00B35248" w:rsidRPr="00B35248" w:rsidRDefault="00B35248" w:rsidP="00B35248">
      <w:pPr>
        <w:pStyle w:val="Bibliography"/>
        <w:rPr>
          <w:rFonts w:ascii="Calibri" w:hAnsi="Calibri" w:cs="Calibri"/>
        </w:rPr>
      </w:pPr>
      <w:r w:rsidRPr="00B35248">
        <w:rPr>
          <w:rFonts w:ascii="Calibri" w:hAnsi="Calibri" w:cs="Calibri"/>
        </w:rPr>
        <w:t>4.</w:t>
      </w:r>
      <w:r w:rsidRPr="00B35248">
        <w:rPr>
          <w:rFonts w:ascii="Calibri" w:hAnsi="Calibri" w:cs="Calibri"/>
        </w:rPr>
        <w:tab/>
        <w:t xml:space="preserve">De Roo AC, Chen Y, Du X, et al. Polygenic Risk Prediction in Diverticulitis. </w:t>
      </w:r>
      <w:r w:rsidRPr="00B35248">
        <w:rPr>
          <w:rFonts w:ascii="Calibri" w:hAnsi="Calibri" w:cs="Calibri"/>
          <w:i/>
          <w:iCs/>
        </w:rPr>
        <w:t>Ann Surg</w:t>
      </w:r>
      <w:r w:rsidRPr="00B35248">
        <w:rPr>
          <w:rFonts w:ascii="Calibri" w:hAnsi="Calibri" w:cs="Calibri"/>
        </w:rPr>
        <w:t>. 2023;277(6):e1262-e1268. doi:10.1097/SLA.0000000000005623</w:t>
      </w:r>
    </w:p>
    <w:p w14:paraId="36C4FDA0" w14:textId="47982685" w:rsidR="00CE485E" w:rsidRPr="00B33595" w:rsidRDefault="00CE485E" w:rsidP="00BF47EB">
      <w:r>
        <w:fldChar w:fldCharType="end"/>
      </w:r>
    </w:p>
    <w:sectPr w:rsidR="00CE485E" w:rsidRPr="00B33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755DC"/>
    <w:multiLevelType w:val="hybridMultilevel"/>
    <w:tmpl w:val="8DD00582"/>
    <w:lvl w:ilvl="0" w:tplc="FFFFFFFF">
      <w:start w:val="1"/>
      <w:numFmt w:val="decimal"/>
      <w:suff w:val="space"/>
      <w:lvlText w:val="%1."/>
      <w:lvlJc w:val="left"/>
      <w:pPr>
        <w:ind w:left="216" w:hanging="21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DD1407"/>
    <w:multiLevelType w:val="hybridMultilevel"/>
    <w:tmpl w:val="8DD00582"/>
    <w:lvl w:ilvl="0" w:tplc="FFFFFFFF">
      <w:start w:val="1"/>
      <w:numFmt w:val="decimal"/>
      <w:suff w:val="space"/>
      <w:lvlText w:val="%1."/>
      <w:lvlJc w:val="left"/>
      <w:pPr>
        <w:ind w:left="216" w:hanging="21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1A3608"/>
    <w:multiLevelType w:val="multilevel"/>
    <w:tmpl w:val="A96281B0"/>
    <w:styleLink w:val="TULOs"/>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080" w:hanging="360"/>
      </w:pPr>
      <w:rPr>
        <w:rFonts w:hint="default"/>
        <w:color w:val="auto"/>
      </w:rPr>
    </w:lvl>
    <w:lvl w:ilvl="2">
      <w:start w:val="1"/>
      <w:numFmt w:val="lowerRoman"/>
      <w:lvlText w:val="%3)"/>
      <w:lvlJc w:val="left"/>
      <w:pPr>
        <w:ind w:left="1440" w:hanging="360"/>
      </w:pPr>
      <w:rPr>
        <w:rFonts w:ascii="Times New Roman" w:hAnsi="Times New Roman" w:hint="default"/>
        <w:color w:val="auto"/>
      </w:rPr>
    </w:lvl>
    <w:lvl w:ilvl="3">
      <w:start w:val="1"/>
      <w:numFmt w:val="decimal"/>
      <w:lvlText w:val="(%4)"/>
      <w:lvlJc w:val="left"/>
      <w:pPr>
        <w:ind w:left="1800" w:hanging="360"/>
      </w:pPr>
      <w:rPr>
        <w:rFonts w:hint="default"/>
      </w:rPr>
    </w:lvl>
    <w:lvl w:ilvl="4">
      <w:start w:val="1"/>
      <w:numFmt w:val="bullet"/>
      <w:lvlText w:val=""/>
      <w:lvlJc w:val="left"/>
      <w:pPr>
        <w:ind w:left="2160" w:hanging="360"/>
      </w:pPr>
      <w:rPr>
        <w:rFonts w:ascii="Symbol" w:hAnsi="Symbol" w:hint="default"/>
        <w:color w:val="auto"/>
      </w:rPr>
    </w:lvl>
    <w:lvl w:ilvl="5">
      <w:start w:val="1"/>
      <w:numFmt w:val="bullet"/>
      <w:lvlText w:val=""/>
      <w:lvlJc w:val="left"/>
      <w:pPr>
        <w:ind w:left="2520" w:hanging="360"/>
      </w:pPr>
      <w:rPr>
        <w:rFonts w:ascii="Symbol" w:hAnsi="Symbol" w:hint="default"/>
        <w:color w:val="auto"/>
      </w:rPr>
    </w:lvl>
    <w:lvl w:ilvl="6">
      <w:start w:val="1"/>
      <w:numFmt w:val="bullet"/>
      <w:lvlText w:val=""/>
      <w:lvlJc w:val="left"/>
      <w:pPr>
        <w:ind w:left="2880" w:hanging="360"/>
      </w:pPr>
      <w:rPr>
        <w:rFonts w:ascii="Symbol" w:hAnsi="Symbol" w:hint="default"/>
        <w:color w:val="auto"/>
      </w:rPr>
    </w:lvl>
    <w:lvl w:ilvl="7">
      <w:start w:val="1"/>
      <w:numFmt w:val="bullet"/>
      <w:lvlText w:val=""/>
      <w:lvlJc w:val="left"/>
      <w:pPr>
        <w:ind w:left="3240" w:hanging="360"/>
      </w:pPr>
      <w:rPr>
        <w:rFonts w:ascii="Symbol" w:hAnsi="Symbol" w:hint="default"/>
        <w:color w:val="auto"/>
      </w:rPr>
    </w:lvl>
    <w:lvl w:ilvl="8">
      <w:start w:val="1"/>
      <w:numFmt w:val="none"/>
      <w:lvlText w:val="%9"/>
      <w:lvlJc w:val="left"/>
      <w:pPr>
        <w:ind w:left="3600" w:hanging="360"/>
      </w:pPr>
      <w:rPr>
        <w:rFonts w:hint="default"/>
      </w:rPr>
    </w:lvl>
  </w:abstractNum>
  <w:abstractNum w:abstractNumId="3" w15:restartNumberingAfterBreak="0">
    <w:nsid w:val="2D3E4DDC"/>
    <w:multiLevelType w:val="hybridMultilevel"/>
    <w:tmpl w:val="8DD00582"/>
    <w:lvl w:ilvl="0" w:tplc="FFFFFFFF">
      <w:start w:val="1"/>
      <w:numFmt w:val="decimal"/>
      <w:suff w:val="space"/>
      <w:lvlText w:val="%1."/>
      <w:lvlJc w:val="left"/>
      <w:pPr>
        <w:ind w:left="216" w:hanging="21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FEF298E"/>
    <w:multiLevelType w:val="hybridMultilevel"/>
    <w:tmpl w:val="8430A8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9C7A07"/>
    <w:multiLevelType w:val="hybridMultilevel"/>
    <w:tmpl w:val="8DD00582"/>
    <w:lvl w:ilvl="0" w:tplc="FFFFFFFF">
      <w:start w:val="1"/>
      <w:numFmt w:val="decimal"/>
      <w:suff w:val="space"/>
      <w:lvlText w:val="%1."/>
      <w:lvlJc w:val="left"/>
      <w:pPr>
        <w:ind w:left="216" w:hanging="21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AA85EF7"/>
    <w:multiLevelType w:val="hybridMultilevel"/>
    <w:tmpl w:val="8DD00582"/>
    <w:lvl w:ilvl="0" w:tplc="C9240D24">
      <w:start w:val="1"/>
      <w:numFmt w:val="decimal"/>
      <w:suff w:val="space"/>
      <w:lvlText w:val="%1."/>
      <w:lvlJc w:val="lef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1894269">
    <w:abstractNumId w:val="2"/>
  </w:num>
  <w:num w:numId="2" w16cid:durableId="264577217">
    <w:abstractNumId w:val="4"/>
  </w:num>
  <w:num w:numId="3" w16cid:durableId="1385520260">
    <w:abstractNumId w:val="6"/>
  </w:num>
  <w:num w:numId="4" w16cid:durableId="294263540">
    <w:abstractNumId w:val="1"/>
  </w:num>
  <w:num w:numId="5" w16cid:durableId="890731367">
    <w:abstractNumId w:val="5"/>
  </w:num>
  <w:num w:numId="6" w16cid:durableId="708073123">
    <w:abstractNumId w:val="0"/>
  </w:num>
  <w:num w:numId="7" w16cid:durableId="6537989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30F"/>
    <w:rsid w:val="001066A2"/>
    <w:rsid w:val="00165955"/>
    <w:rsid w:val="001E188C"/>
    <w:rsid w:val="00213F3E"/>
    <w:rsid w:val="002179F7"/>
    <w:rsid w:val="00227F14"/>
    <w:rsid w:val="003055A9"/>
    <w:rsid w:val="00327CA0"/>
    <w:rsid w:val="003450B5"/>
    <w:rsid w:val="003675DB"/>
    <w:rsid w:val="003C48EE"/>
    <w:rsid w:val="003C5FE8"/>
    <w:rsid w:val="003D5435"/>
    <w:rsid w:val="003F717E"/>
    <w:rsid w:val="004356E9"/>
    <w:rsid w:val="00471D12"/>
    <w:rsid w:val="00492524"/>
    <w:rsid w:val="00495F0B"/>
    <w:rsid w:val="00497D49"/>
    <w:rsid w:val="004D122A"/>
    <w:rsid w:val="00501173"/>
    <w:rsid w:val="0050330F"/>
    <w:rsid w:val="00544F77"/>
    <w:rsid w:val="005C5924"/>
    <w:rsid w:val="00612A57"/>
    <w:rsid w:val="006237B0"/>
    <w:rsid w:val="00623E36"/>
    <w:rsid w:val="00665436"/>
    <w:rsid w:val="0068090C"/>
    <w:rsid w:val="00694C57"/>
    <w:rsid w:val="006B4576"/>
    <w:rsid w:val="007040EC"/>
    <w:rsid w:val="00730F71"/>
    <w:rsid w:val="00770DA5"/>
    <w:rsid w:val="00783A72"/>
    <w:rsid w:val="00796726"/>
    <w:rsid w:val="007B4018"/>
    <w:rsid w:val="007B68DA"/>
    <w:rsid w:val="007C0A78"/>
    <w:rsid w:val="008064AA"/>
    <w:rsid w:val="00813D4B"/>
    <w:rsid w:val="008367C6"/>
    <w:rsid w:val="008538F4"/>
    <w:rsid w:val="008C319B"/>
    <w:rsid w:val="008F5853"/>
    <w:rsid w:val="00931E64"/>
    <w:rsid w:val="009540C0"/>
    <w:rsid w:val="00997BB4"/>
    <w:rsid w:val="009A1076"/>
    <w:rsid w:val="009D494E"/>
    <w:rsid w:val="009E0B38"/>
    <w:rsid w:val="009E25CC"/>
    <w:rsid w:val="009F57A9"/>
    <w:rsid w:val="00A722E9"/>
    <w:rsid w:val="00A7609D"/>
    <w:rsid w:val="00A91A37"/>
    <w:rsid w:val="00A97E96"/>
    <w:rsid w:val="00AC7147"/>
    <w:rsid w:val="00AE13A6"/>
    <w:rsid w:val="00AE30DC"/>
    <w:rsid w:val="00AF74ED"/>
    <w:rsid w:val="00B33595"/>
    <w:rsid w:val="00B35248"/>
    <w:rsid w:val="00B36CA0"/>
    <w:rsid w:val="00B525A2"/>
    <w:rsid w:val="00B62787"/>
    <w:rsid w:val="00B6411D"/>
    <w:rsid w:val="00BD50E2"/>
    <w:rsid w:val="00BF46BC"/>
    <w:rsid w:val="00BF47EB"/>
    <w:rsid w:val="00BF7964"/>
    <w:rsid w:val="00C00DBA"/>
    <w:rsid w:val="00CA7F86"/>
    <w:rsid w:val="00CE485E"/>
    <w:rsid w:val="00D0177F"/>
    <w:rsid w:val="00D20646"/>
    <w:rsid w:val="00D74421"/>
    <w:rsid w:val="00DD5EB0"/>
    <w:rsid w:val="00DF6D04"/>
    <w:rsid w:val="00E20CCD"/>
    <w:rsid w:val="00E256CD"/>
    <w:rsid w:val="00E26CE2"/>
    <w:rsid w:val="00E4342C"/>
    <w:rsid w:val="00E438D9"/>
    <w:rsid w:val="00E477CD"/>
    <w:rsid w:val="00ED4BCF"/>
    <w:rsid w:val="00F04F12"/>
    <w:rsid w:val="00F1509B"/>
    <w:rsid w:val="00F678F1"/>
    <w:rsid w:val="00F74A5E"/>
    <w:rsid w:val="00FB5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A9B48"/>
  <w15:chartTrackingRefBased/>
  <w15:docId w15:val="{D70F0CCA-724D-4DF9-B37B-01343B99A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7E96"/>
    <w:pPr>
      <w:keepNext/>
      <w:keepLines/>
      <w:spacing w:before="240" w:after="0" w:line="240" w:lineRule="auto"/>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97E96"/>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477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7E9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97E96"/>
    <w:rPr>
      <w:rFonts w:asciiTheme="majorHAnsi" w:eastAsiaTheme="majorEastAsia" w:hAnsiTheme="majorHAnsi" w:cstheme="majorBidi"/>
      <w:b/>
      <w:sz w:val="32"/>
      <w:szCs w:val="32"/>
    </w:rPr>
  </w:style>
  <w:style w:type="numbering" w:customStyle="1" w:styleId="TULOs">
    <w:name w:val="TU LOs"/>
    <w:uiPriority w:val="99"/>
    <w:rsid w:val="0068090C"/>
    <w:pPr>
      <w:numPr>
        <w:numId w:val="1"/>
      </w:numPr>
    </w:pPr>
  </w:style>
  <w:style w:type="character" w:customStyle="1" w:styleId="Heading3Char">
    <w:name w:val="Heading 3 Char"/>
    <w:basedOn w:val="DefaultParagraphFont"/>
    <w:link w:val="Heading3"/>
    <w:uiPriority w:val="9"/>
    <w:rsid w:val="00E477CD"/>
    <w:rPr>
      <w:rFonts w:asciiTheme="majorHAnsi" w:eastAsiaTheme="majorEastAsia" w:hAnsiTheme="majorHAnsi" w:cstheme="majorBidi"/>
      <w:color w:val="1F3763" w:themeColor="accent1" w:themeShade="7F"/>
      <w:sz w:val="24"/>
      <w:szCs w:val="24"/>
    </w:rPr>
  </w:style>
  <w:style w:type="paragraph" w:styleId="Bibliography">
    <w:name w:val="Bibliography"/>
    <w:basedOn w:val="Normal"/>
    <w:next w:val="Normal"/>
    <w:uiPriority w:val="37"/>
    <w:unhideWhenUsed/>
    <w:rsid w:val="00CE485E"/>
    <w:pPr>
      <w:tabs>
        <w:tab w:val="left" w:pos="264"/>
      </w:tabs>
      <w:spacing w:after="240" w:line="240" w:lineRule="auto"/>
      <w:ind w:left="264" w:hanging="264"/>
    </w:pPr>
  </w:style>
  <w:style w:type="table" w:styleId="TableGrid">
    <w:name w:val="Table Grid"/>
    <w:basedOn w:val="TableNormal"/>
    <w:uiPriority w:val="39"/>
    <w:rsid w:val="00997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97BB4"/>
    <w:pPr>
      <w:spacing w:after="200" w:line="240" w:lineRule="auto"/>
    </w:pPr>
    <w:rPr>
      <w:i/>
      <w:iCs/>
      <w:color w:val="44546A" w:themeColor="text2"/>
      <w:sz w:val="18"/>
      <w:szCs w:val="18"/>
    </w:rPr>
  </w:style>
  <w:style w:type="paragraph" w:styleId="ListParagraph">
    <w:name w:val="List Paragraph"/>
    <w:basedOn w:val="Normal"/>
    <w:uiPriority w:val="34"/>
    <w:qFormat/>
    <w:rsid w:val="00813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a5a7f39-e3be-4ab3-b450-67fa80faecad}" enabled="0" method="" siteId="{ba5a7f39-e3be-4ab3-b450-67fa80faecad}" removed="1"/>
</clbl:labelList>
</file>

<file path=docProps/app.xml><?xml version="1.0" encoding="utf-8"?>
<Properties xmlns="http://schemas.openxmlformats.org/officeDocument/2006/extended-properties" xmlns:vt="http://schemas.openxmlformats.org/officeDocument/2006/docPropsVTypes">
  <Template>Normal.dotm</Template>
  <TotalTime>109</TotalTime>
  <Pages>4</Pages>
  <Words>2718</Words>
  <Characters>15493</Characters>
  <Application>Microsoft Office Word</Application>
  <DocSecurity>0</DocSecurity>
  <Lines>129</Lines>
  <Paragraphs>36</Paragraphs>
  <ScaleCrop>false</ScaleCrop>
  <Company/>
  <LinksUpToDate>false</LinksUpToDate>
  <CharactersWithSpaces>18175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Ueland, Thomas E</dc:creator>
  <cp:keywords/>
  <dc:description/>
  <cp:lastModifiedBy>Ueland, Thomas E</cp:lastModifiedBy>
  <cp:revision>78</cp:revision>
  <dcterms:created xsi:type="dcterms:W3CDTF">2024-01-03T15:03:00Z</dcterms:created>
  <dcterms:modified xsi:type="dcterms:W3CDTF">2024-06-20T11:26:00Z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id="ZvCyIY4X"/&gt;&lt;style id="http://www.zotero.org/styles/american-medical-association" hasBibliography="1" bibliographyStyleHasBeenSet="1"/&gt;&lt;prefs&gt;&lt;pref name="fieldType" value="Field"/&gt;&lt;/prefs&gt;&lt;/data&gt;</vt:lpwstr>
  </property>
</Properties>
</file>