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55ED0" w14:textId="77777777" w:rsidR="00202FCA" w:rsidRPr="0002645D" w:rsidRDefault="00202FCA" w:rsidP="00202FCA">
      <w:pPr>
        <w:pBdr>
          <w:top w:val="nil"/>
          <w:left w:val="nil"/>
          <w:bottom w:val="nil"/>
          <w:right w:val="nil"/>
          <w:between w:val="nil"/>
        </w:pBdr>
        <w:spacing w:line="480" w:lineRule="auto"/>
        <w:rPr>
          <w:color w:val="000000" w:themeColor="text1"/>
        </w:rPr>
      </w:pPr>
      <w:r w:rsidRPr="0002645D">
        <w:rPr>
          <w:color w:val="000000" w:themeColor="text1"/>
        </w:rPr>
        <w:t xml:space="preserve">Two separate FS algorithms were developed under supervision of a clinical neurologist, </w:t>
      </w:r>
      <w:r>
        <w:rPr>
          <w:color w:val="000000" w:themeColor="text1"/>
        </w:rPr>
        <w:t>Kevin F. Haas, MD, PhD (</w:t>
      </w:r>
      <w:r w:rsidRPr="0002645D">
        <w:rPr>
          <w:color w:val="000000" w:themeColor="text1"/>
        </w:rPr>
        <w:t>KFH</w:t>
      </w:r>
      <w:r>
        <w:rPr>
          <w:color w:val="000000" w:themeColor="text1"/>
        </w:rPr>
        <w:t>)</w:t>
      </w:r>
      <w:r w:rsidRPr="0002645D">
        <w:rPr>
          <w:color w:val="000000" w:themeColor="text1"/>
        </w:rPr>
        <w:t>, to reduce bias during algorithm development and chart review. The primary algorithm was used to identify FS patients without concurrent epilepsy (Figure 2, Table 1). The secondary algorithm identified FS patients without exclusions for epilepsy (Figure 3, Table 2).</w:t>
      </w:r>
      <w:r w:rsidRPr="0002645D">
        <w:rPr>
          <w:color w:val="000000" w:themeColor="text1"/>
        </w:rPr>
        <w:fldChar w:fldCharType="begin"/>
      </w:r>
      <w:r w:rsidRPr="0002645D">
        <w:rPr>
          <w:color w:val="000000" w:themeColor="text1"/>
        </w:rPr>
        <w:instrText xml:space="preserve"> ADDIN ZOTERO_ITEM CSL_CITATION {"citationID":"23yz2FDK","properties":{"formattedCitation":"\\super 47\\nosupersub{}","plainCitation":"47","noteIndex":0},"citationItems":[{"id":429,"uris":["http://zotero.org/groups/2313352/items/3U9I4U7R"],"uri":["http://zotero.org/groups/2313352/items/3U9I4U7R"],"itemData":{"id":429,"type":"article-journal","abstract":"The World Health Organization (WHO) International Classification of Diseases (ICD) has been used to classify causes of morbidity and mortality such as epilepsy for more than 50 years. The aims of this critical commentary are to do the following: (1) Introduce the ICD classification, summarize the ICD-9 and ICD-10 codes for epilepsy and seizures, and discuss the challenges of mapping epilepsy codes between these two versions; (2) discuss how the ICD-9 and ICD-10 relate to the revised International League Against Epilepsy (ILAE) terminology and concepts for classification of seizures and epilepsies; (3) discuss how ICD-coded data have been used for epilepsy care and research and briefly examine the potential impact of the international ICD-10 clinical modifications on research; (4) discuss the upcoming ICD-11 codes and the role of the epilepsy community in their development; and (5) discuss how the ICD-11 will conform more closely to the current ILAE terminology and classification of the epilepsies and seizures and its potential impact on clinical care, surveillance, and public health and research.","container-title":"Epilepsia","DOI":"10.1111/epi.12895","ISSN":"1528-1167","issue":"3","language":"en","page":"348-355","source":"Wiley Online Library","title":"ICD coding for epilepsy: Past, present, and future—A report by the International League Against Epilepsy Task Force on ICD codes in epilepsy","title-short":"ICD coding for epilepsy","volume":"56","author":[{"family":"Jette","given":"Nathalie"},{"family":"Beghi","given":"Ettore"},{"family":"Hesdorffer","given":"Dale"},{"family":"Moshé","given":"Solomon L."},{"family":"Zuberi","given":"Sameer M."},{"family":"Medina","given":"Marco T."},{"family":"Bergen","given":"Donna"}],"issued":{"date-parts":[["2015",3,1]]}}}],"schema":"https://github.com/citation-style-language/schema/raw/master/csl-citation.json"} </w:instrText>
      </w:r>
      <w:r w:rsidRPr="0002645D">
        <w:rPr>
          <w:color w:val="000000" w:themeColor="text1"/>
        </w:rPr>
        <w:fldChar w:fldCharType="separate"/>
      </w:r>
      <w:r w:rsidRPr="0002645D">
        <w:rPr>
          <w:rFonts w:ascii="Calibri" w:cs="Times New Roman"/>
          <w:color w:val="000000" w:themeColor="text1"/>
          <w:vertAlign w:val="superscript"/>
        </w:rPr>
        <w:t>47</w:t>
      </w:r>
      <w:r w:rsidRPr="0002645D">
        <w:rPr>
          <w:color w:val="000000" w:themeColor="text1"/>
        </w:rPr>
        <w:fldChar w:fldCharType="end"/>
      </w:r>
      <w:r w:rsidRPr="0002645D">
        <w:rPr>
          <w:color w:val="000000" w:themeColor="text1"/>
        </w:rPr>
        <w:t xml:space="preserve"> The primary algorithm was validated by unblinded manual chart review of 50 algorithm-identified cases.</w:t>
      </w:r>
    </w:p>
    <w:p w14:paraId="13F344CE" w14:textId="77777777" w:rsidR="00202FCA" w:rsidRPr="0002645D" w:rsidRDefault="00202FCA" w:rsidP="00202FCA">
      <w:pPr>
        <w:pBdr>
          <w:top w:val="nil"/>
          <w:left w:val="nil"/>
          <w:bottom w:val="nil"/>
          <w:right w:val="nil"/>
          <w:between w:val="nil"/>
        </w:pBdr>
        <w:spacing w:line="480" w:lineRule="auto"/>
        <w:rPr>
          <w:color w:val="000000" w:themeColor="text1"/>
        </w:rPr>
      </w:pPr>
    </w:p>
    <w:p w14:paraId="76A3543F" w14:textId="77777777" w:rsidR="00202FCA" w:rsidRPr="0002645D" w:rsidRDefault="00202FCA" w:rsidP="00202FCA">
      <w:pPr>
        <w:pBdr>
          <w:top w:val="nil"/>
          <w:left w:val="nil"/>
          <w:bottom w:val="nil"/>
          <w:right w:val="nil"/>
          <w:between w:val="nil"/>
        </w:pBdr>
        <w:spacing w:line="480" w:lineRule="auto"/>
        <w:rPr>
          <w:color w:val="000000" w:themeColor="text1"/>
        </w:rPr>
      </w:pPr>
    </w:p>
    <w:p w14:paraId="72E3E4AD" w14:textId="77777777" w:rsidR="00202FCA" w:rsidRPr="0002645D" w:rsidRDefault="00202FCA" w:rsidP="00202FCA">
      <w:pPr>
        <w:pBdr>
          <w:top w:val="nil"/>
          <w:left w:val="nil"/>
          <w:bottom w:val="nil"/>
          <w:right w:val="nil"/>
          <w:between w:val="nil"/>
        </w:pBdr>
        <w:spacing w:line="480" w:lineRule="auto"/>
        <w:rPr>
          <w:color w:val="000000" w:themeColor="text1"/>
        </w:rPr>
      </w:pPr>
      <w:r w:rsidRPr="0002645D">
        <w:rPr>
          <w:noProof/>
          <w:color w:val="000000" w:themeColor="text1"/>
        </w:rPr>
        <w:drawing>
          <wp:inline distT="0" distB="0" distL="0" distR="0" wp14:anchorId="3977E3AC" wp14:editId="47661DD8">
            <wp:extent cx="5943600" cy="10591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5943600" cy="1059180"/>
                    </a:xfrm>
                    <a:prstGeom prst="rect">
                      <a:avLst/>
                    </a:prstGeom>
                  </pic:spPr>
                </pic:pic>
              </a:graphicData>
            </a:graphic>
          </wp:inline>
        </w:drawing>
      </w:r>
    </w:p>
    <w:p w14:paraId="2BC8C15A" w14:textId="77777777" w:rsidR="00202FCA" w:rsidRPr="0002645D" w:rsidRDefault="00202FCA" w:rsidP="00202FCA">
      <w:pPr>
        <w:pBdr>
          <w:top w:val="nil"/>
          <w:left w:val="nil"/>
          <w:bottom w:val="nil"/>
          <w:right w:val="nil"/>
          <w:between w:val="nil"/>
        </w:pBdr>
        <w:spacing w:line="480" w:lineRule="auto"/>
        <w:jc w:val="center"/>
        <w:rPr>
          <w:color w:val="000000" w:themeColor="text1"/>
          <w:sz w:val="20"/>
          <w:szCs w:val="20"/>
        </w:rPr>
      </w:pPr>
      <w:r w:rsidRPr="00A32C77">
        <w:rPr>
          <w:b/>
          <w:bCs/>
          <w:color w:val="000000" w:themeColor="text1"/>
          <w:sz w:val="20"/>
          <w:szCs w:val="20"/>
        </w:rPr>
        <w:t xml:space="preserve">Figure </w:t>
      </w:r>
      <w:r w:rsidRPr="0002645D">
        <w:rPr>
          <w:b/>
          <w:bCs/>
          <w:color w:val="000000" w:themeColor="text1"/>
          <w:sz w:val="20"/>
          <w:szCs w:val="20"/>
        </w:rPr>
        <w:t>2</w:t>
      </w:r>
      <w:r w:rsidRPr="00A32C77">
        <w:rPr>
          <w:b/>
          <w:bCs/>
          <w:color w:val="000000" w:themeColor="text1"/>
          <w:sz w:val="20"/>
          <w:szCs w:val="20"/>
        </w:rPr>
        <w:t xml:space="preserve">. </w:t>
      </w:r>
      <w:r w:rsidRPr="00A32C77">
        <w:rPr>
          <w:color w:val="000000" w:themeColor="text1"/>
          <w:sz w:val="20"/>
          <w:szCs w:val="20"/>
        </w:rPr>
        <w:t xml:space="preserve">Algorithm for detecting </w:t>
      </w:r>
      <w:r>
        <w:rPr>
          <w:color w:val="000000" w:themeColor="text1"/>
          <w:sz w:val="20"/>
          <w:szCs w:val="20"/>
        </w:rPr>
        <w:t>FS</w:t>
      </w:r>
      <w:r w:rsidRPr="00A32C77">
        <w:rPr>
          <w:color w:val="000000" w:themeColor="text1"/>
          <w:sz w:val="20"/>
          <w:szCs w:val="20"/>
        </w:rPr>
        <w:t xml:space="preserve"> cases and controls within the VUMC EHR. All VUMC EHR patients were initially included, then anyone with a generalized or focal epilepsy ICD code was excluded. Patients without convulsion or conversion disorder ICD codes were considered </w:t>
      </w:r>
      <w:r>
        <w:rPr>
          <w:color w:val="000000" w:themeColor="text1"/>
          <w:sz w:val="20"/>
          <w:szCs w:val="20"/>
        </w:rPr>
        <w:t>controls</w:t>
      </w:r>
      <w:r w:rsidRPr="00A32C77">
        <w:rPr>
          <w:color w:val="000000" w:themeColor="text1"/>
          <w:sz w:val="20"/>
          <w:szCs w:val="20"/>
        </w:rPr>
        <w:t xml:space="preserve">, while anyone with both a </w:t>
      </w:r>
      <w:r>
        <w:rPr>
          <w:color w:val="000000" w:themeColor="text1"/>
          <w:sz w:val="20"/>
          <w:szCs w:val="20"/>
        </w:rPr>
        <w:t>FS</w:t>
      </w:r>
      <w:r w:rsidRPr="00A32C77">
        <w:rPr>
          <w:color w:val="000000" w:themeColor="text1"/>
          <w:sz w:val="20"/>
          <w:szCs w:val="20"/>
        </w:rPr>
        <w:t xml:space="preserve"> keyword in their chart and the presence of the keyword EEG was included as a </w:t>
      </w:r>
      <w:r>
        <w:rPr>
          <w:color w:val="000000" w:themeColor="text1"/>
          <w:sz w:val="20"/>
          <w:szCs w:val="20"/>
        </w:rPr>
        <w:t>FS</w:t>
      </w:r>
      <w:r w:rsidRPr="00A32C77">
        <w:rPr>
          <w:color w:val="000000" w:themeColor="text1"/>
          <w:sz w:val="20"/>
          <w:szCs w:val="20"/>
        </w:rPr>
        <w:t xml:space="preserve"> case.</w:t>
      </w:r>
    </w:p>
    <w:p w14:paraId="4FAE60F4" w14:textId="77777777" w:rsidR="00202FCA" w:rsidRPr="0002645D" w:rsidRDefault="00202FCA" w:rsidP="00202FCA">
      <w:pPr>
        <w:pBdr>
          <w:top w:val="nil"/>
          <w:left w:val="nil"/>
          <w:bottom w:val="nil"/>
          <w:right w:val="nil"/>
          <w:between w:val="nil"/>
        </w:pBdr>
        <w:spacing w:line="480" w:lineRule="auto"/>
        <w:rPr>
          <w:color w:val="000000" w:themeColor="text1"/>
          <w:sz w:val="20"/>
          <w:szCs w:val="20"/>
        </w:rPr>
      </w:pPr>
    </w:p>
    <w:p w14:paraId="6FCA4083" w14:textId="77777777" w:rsidR="00202FCA" w:rsidRPr="00A32C77" w:rsidRDefault="00202FCA" w:rsidP="00202FCA">
      <w:pPr>
        <w:pBdr>
          <w:top w:val="nil"/>
          <w:left w:val="nil"/>
          <w:bottom w:val="nil"/>
          <w:right w:val="nil"/>
          <w:between w:val="nil"/>
        </w:pBdr>
        <w:spacing w:line="480" w:lineRule="auto"/>
        <w:rPr>
          <w:color w:val="000000" w:themeColor="text1"/>
          <w:sz w:val="20"/>
          <w:szCs w:val="20"/>
        </w:rPr>
      </w:pPr>
    </w:p>
    <w:p w14:paraId="3D19D38E" w14:textId="77777777" w:rsidR="00202FCA" w:rsidRPr="00A32C77" w:rsidRDefault="00202FCA" w:rsidP="00202FCA">
      <w:pPr>
        <w:pBdr>
          <w:top w:val="nil"/>
          <w:left w:val="nil"/>
          <w:bottom w:val="nil"/>
          <w:right w:val="nil"/>
          <w:between w:val="nil"/>
        </w:pBdr>
        <w:spacing w:line="480" w:lineRule="auto"/>
        <w:rPr>
          <w:color w:val="000000" w:themeColor="text1"/>
        </w:rPr>
      </w:pPr>
      <w:r w:rsidRPr="00A32C77">
        <w:rPr>
          <w:noProof/>
          <w:color w:val="000000" w:themeColor="text1"/>
        </w:rPr>
        <w:drawing>
          <wp:inline distT="0" distB="0" distL="0" distR="0" wp14:anchorId="3393B193" wp14:editId="44102088">
            <wp:extent cx="5943600" cy="1250315"/>
            <wp:effectExtent l="0" t="0" r="0" b="0"/>
            <wp:docPr id="4" name="Picture 3">
              <a:extLst xmlns:a="http://schemas.openxmlformats.org/drawingml/2006/main">
                <a:ext uri="{FF2B5EF4-FFF2-40B4-BE49-F238E27FC236}">
                  <a16:creationId xmlns:a16="http://schemas.microsoft.com/office/drawing/2014/main" id="{FCE6D0C3-4A88-9A47-BB07-31DB926D7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FCE6D0C3-4A88-9A47-BB07-31DB926D7FD3}"/>
                        </a:ext>
                      </a:extLst>
                    </pic:cNvPr>
                    <pic:cNvPicPr>
                      <a:picLocks noChangeAspect="1"/>
                    </pic:cNvPicPr>
                  </pic:nvPicPr>
                  <pic:blipFill>
                    <a:blip r:embed="rId6"/>
                    <a:stretch>
                      <a:fillRect/>
                    </a:stretch>
                  </pic:blipFill>
                  <pic:spPr>
                    <a:xfrm>
                      <a:off x="0" y="0"/>
                      <a:ext cx="5943600" cy="1250315"/>
                    </a:xfrm>
                    <a:prstGeom prst="rect">
                      <a:avLst/>
                    </a:prstGeom>
                  </pic:spPr>
                </pic:pic>
              </a:graphicData>
            </a:graphic>
          </wp:inline>
        </w:drawing>
      </w:r>
    </w:p>
    <w:p w14:paraId="22D5D311" w14:textId="77777777" w:rsidR="00202FCA" w:rsidRPr="00A32C77" w:rsidRDefault="00202FCA" w:rsidP="00202FCA">
      <w:pPr>
        <w:pBdr>
          <w:top w:val="nil"/>
          <w:left w:val="nil"/>
          <w:bottom w:val="nil"/>
          <w:right w:val="nil"/>
          <w:between w:val="nil"/>
        </w:pBdr>
        <w:spacing w:line="480" w:lineRule="auto"/>
        <w:jc w:val="center"/>
        <w:rPr>
          <w:color w:val="000000" w:themeColor="text1"/>
          <w:sz w:val="20"/>
          <w:szCs w:val="20"/>
        </w:rPr>
      </w:pPr>
      <w:r w:rsidRPr="0002645D">
        <w:rPr>
          <w:b/>
          <w:bCs/>
          <w:color w:val="000000" w:themeColor="text1"/>
          <w:sz w:val="20"/>
          <w:szCs w:val="20"/>
        </w:rPr>
        <w:t>Figure 3</w:t>
      </w:r>
      <w:r w:rsidRPr="00A32C77">
        <w:rPr>
          <w:color w:val="000000" w:themeColor="text1"/>
          <w:sz w:val="20"/>
          <w:szCs w:val="20"/>
        </w:rPr>
        <w:t xml:space="preserve">. Flow chart of algorithm used to identify </w:t>
      </w:r>
      <w:r>
        <w:rPr>
          <w:color w:val="000000" w:themeColor="text1"/>
          <w:sz w:val="20"/>
          <w:szCs w:val="20"/>
        </w:rPr>
        <w:t>FS</w:t>
      </w:r>
      <w:r w:rsidRPr="00A32C77">
        <w:rPr>
          <w:color w:val="000000" w:themeColor="text1"/>
          <w:sz w:val="20"/>
          <w:szCs w:val="20"/>
        </w:rPr>
        <w:t xml:space="preserve"> patients irrespective of their epilepsy case/control status</w:t>
      </w:r>
      <w:r w:rsidRPr="0002645D">
        <w:rPr>
          <w:color w:val="000000" w:themeColor="text1"/>
          <w:sz w:val="20"/>
          <w:szCs w:val="20"/>
        </w:rPr>
        <w:t>.</w:t>
      </w:r>
    </w:p>
    <w:p w14:paraId="000EFCE9" w14:textId="77777777" w:rsidR="00202FCA" w:rsidRPr="0002645D" w:rsidRDefault="00202FCA" w:rsidP="00202FCA">
      <w:pPr>
        <w:pBdr>
          <w:top w:val="nil"/>
          <w:left w:val="nil"/>
          <w:bottom w:val="nil"/>
          <w:right w:val="nil"/>
          <w:between w:val="nil"/>
        </w:pBdr>
        <w:spacing w:line="480" w:lineRule="auto"/>
        <w:rPr>
          <w:color w:val="000000" w:themeColor="text1"/>
        </w:rPr>
      </w:pPr>
    </w:p>
    <w:p w14:paraId="5A091FEE" w14:textId="77777777" w:rsidR="00202FCA" w:rsidRPr="0002645D" w:rsidRDefault="00202FCA" w:rsidP="00202FCA">
      <w:pPr>
        <w:pBdr>
          <w:top w:val="nil"/>
          <w:left w:val="nil"/>
          <w:bottom w:val="nil"/>
          <w:right w:val="nil"/>
          <w:between w:val="nil"/>
        </w:pBdr>
        <w:spacing w:line="480" w:lineRule="auto"/>
        <w:rPr>
          <w:color w:val="000000" w:themeColor="text1"/>
        </w:rPr>
      </w:pPr>
    </w:p>
    <w:tbl>
      <w:tblPr>
        <w:tblStyle w:val="TableGrid"/>
        <w:tblW w:w="0" w:type="auto"/>
        <w:jc w:val="center"/>
        <w:tblLook w:val="04A0" w:firstRow="1" w:lastRow="0" w:firstColumn="1" w:lastColumn="0" w:noHBand="0" w:noVBand="1"/>
      </w:tblPr>
      <w:tblGrid>
        <w:gridCol w:w="2065"/>
        <w:gridCol w:w="1530"/>
        <w:gridCol w:w="2250"/>
        <w:gridCol w:w="1620"/>
        <w:gridCol w:w="1885"/>
      </w:tblGrid>
      <w:tr w:rsidR="00202FCA" w:rsidRPr="00D8125E" w14:paraId="525F5D6C" w14:textId="77777777" w:rsidTr="00E454C1">
        <w:trPr>
          <w:trHeight w:val="341"/>
          <w:jc w:val="center"/>
        </w:trPr>
        <w:tc>
          <w:tcPr>
            <w:tcW w:w="2065" w:type="dxa"/>
          </w:tcPr>
          <w:p w14:paraId="2B1ACA86" w14:textId="77777777" w:rsidR="00202FCA" w:rsidRPr="00D8125E" w:rsidRDefault="00202FCA" w:rsidP="00E454C1">
            <w:pPr>
              <w:spacing w:line="276" w:lineRule="auto"/>
              <w:jc w:val="center"/>
              <w:rPr>
                <w:rFonts w:ascii="Calibri" w:hAnsi="Calibri" w:cs="Calibri"/>
                <w:b/>
                <w:bCs/>
                <w:color w:val="000000" w:themeColor="text1"/>
                <w:sz w:val="20"/>
                <w:szCs w:val="20"/>
              </w:rPr>
            </w:pPr>
            <w:r w:rsidRPr="00D8125E">
              <w:rPr>
                <w:rFonts w:ascii="Calibri" w:hAnsi="Calibri" w:cs="Calibri"/>
                <w:b/>
                <w:bCs/>
                <w:color w:val="000000" w:themeColor="text1"/>
                <w:sz w:val="20"/>
                <w:szCs w:val="20"/>
              </w:rPr>
              <w:t xml:space="preserve">FS inclusion keywords </w:t>
            </w:r>
            <w:proofErr w:type="gramStart"/>
            <w:r w:rsidRPr="00D8125E">
              <w:rPr>
                <w:rFonts w:ascii="Calibri" w:hAnsi="Calibri" w:cs="Calibri"/>
                <w:b/>
                <w:bCs/>
                <w:color w:val="000000" w:themeColor="text1"/>
                <w:sz w:val="20"/>
                <w:szCs w:val="20"/>
              </w:rPr>
              <w:t>( &gt;</w:t>
            </w:r>
            <w:proofErr w:type="gramEnd"/>
            <w:r w:rsidRPr="00D8125E">
              <w:rPr>
                <w:rFonts w:ascii="Calibri" w:hAnsi="Calibri" w:cs="Calibri"/>
                <w:b/>
                <w:bCs/>
                <w:color w:val="000000" w:themeColor="text1"/>
                <w:sz w:val="20"/>
                <w:szCs w:val="20"/>
              </w:rPr>
              <w:t>= 1)</w:t>
            </w:r>
          </w:p>
        </w:tc>
        <w:tc>
          <w:tcPr>
            <w:tcW w:w="1530" w:type="dxa"/>
          </w:tcPr>
          <w:p w14:paraId="3DD84EB9" w14:textId="77777777" w:rsidR="00202FCA" w:rsidRPr="00D8125E" w:rsidRDefault="00202FCA" w:rsidP="00E454C1">
            <w:pPr>
              <w:spacing w:line="276" w:lineRule="auto"/>
              <w:jc w:val="center"/>
              <w:rPr>
                <w:rFonts w:ascii="Calibri" w:hAnsi="Calibri" w:cs="Calibri"/>
                <w:b/>
                <w:bCs/>
                <w:color w:val="000000" w:themeColor="text1"/>
                <w:sz w:val="20"/>
                <w:szCs w:val="20"/>
              </w:rPr>
            </w:pPr>
            <w:r w:rsidRPr="00D8125E">
              <w:rPr>
                <w:rFonts w:ascii="Calibri" w:hAnsi="Calibri" w:cs="Calibri"/>
                <w:b/>
                <w:bCs/>
                <w:color w:val="000000" w:themeColor="text1"/>
                <w:sz w:val="20"/>
                <w:szCs w:val="20"/>
              </w:rPr>
              <w:t xml:space="preserve">Inclusion ICD codes </w:t>
            </w:r>
            <w:proofErr w:type="gramStart"/>
            <w:r w:rsidRPr="00D8125E">
              <w:rPr>
                <w:rFonts w:ascii="Calibri" w:hAnsi="Calibri" w:cs="Calibri"/>
                <w:b/>
                <w:bCs/>
                <w:color w:val="000000" w:themeColor="text1"/>
                <w:sz w:val="20"/>
                <w:szCs w:val="20"/>
              </w:rPr>
              <w:t>( &gt;</w:t>
            </w:r>
            <w:proofErr w:type="gramEnd"/>
            <w:r w:rsidRPr="00D8125E">
              <w:rPr>
                <w:rFonts w:ascii="Calibri" w:hAnsi="Calibri" w:cs="Calibri"/>
                <w:b/>
                <w:bCs/>
                <w:color w:val="000000" w:themeColor="text1"/>
                <w:sz w:val="20"/>
                <w:szCs w:val="20"/>
              </w:rPr>
              <w:t>= 1)</w:t>
            </w:r>
          </w:p>
        </w:tc>
        <w:tc>
          <w:tcPr>
            <w:tcW w:w="2250" w:type="dxa"/>
          </w:tcPr>
          <w:p w14:paraId="2E50D318" w14:textId="77777777" w:rsidR="00202FCA" w:rsidRPr="00D8125E" w:rsidRDefault="00202FCA" w:rsidP="00E454C1">
            <w:pPr>
              <w:spacing w:line="276" w:lineRule="auto"/>
              <w:jc w:val="center"/>
              <w:rPr>
                <w:rFonts w:ascii="Calibri" w:hAnsi="Calibri" w:cs="Calibri"/>
                <w:b/>
                <w:bCs/>
                <w:color w:val="000000" w:themeColor="text1"/>
                <w:sz w:val="20"/>
                <w:szCs w:val="20"/>
              </w:rPr>
            </w:pPr>
            <w:r w:rsidRPr="00D8125E">
              <w:rPr>
                <w:rFonts w:ascii="Calibri" w:hAnsi="Calibri" w:cs="Calibri"/>
                <w:b/>
                <w:bCs/>
                <w:color w:val="000000" w:themeColor="text1"/>
                <w:sz w:val="20"/>
                <w:szCs w:val="20"/>
              </w:rPr>
              <w:t xml:space="preserve">Inclusion CPT codes </w:t>
            </w:r>
            <w:proofErr w:type="gramStart"/>
            <w:r w:rsidRPr="00D8125E">
              <w:rPr>
                <w:rFonts w:ascii="Calibri" w:hAnsi="Calibri" w:cs="Calibri"/>
                <w:b/>
                <w:bCs/>
                <w:color w:val="000000" w:themeColor="text1"/>
                <w:sz w:val="20"/>
                <w:szCs w:val="20"/>
              </w:rPr>
              <w:t>( &gt;</w:t>
            </w:r>
            <w:proofErr w:type="gramEnd"/>
            <w:r w:rsidRPr="00D8125E">
              <w:rPr>
                <w:rFonts w:ascii="Calibri" w:hAnsi="Calibri" w:cs="Calibri"/>
                <w:b/>
                <w:bCs/>
                <w:color w:val="000000" w:themeColor="text1"/>
                <w:sz w:val="20"/>
                <w:szCs w:val="20"/>
              </w:rPr>
              <w:t>= 1)</w:t>
            </w:r>
          </w:p>
        </w:tc>
        <w:tc>
          <w:tcPr>
            <w:tcW w:w="1620" w:type="dxa"/>
          </w:tcPr>
          <w:p w14:paraId="6DBF08EC" w14:textId="77777777" w:rsidR="00202FCA" w:rsidRPr="00D8125E" w:rsidRDefault="00202FCA" w:rsidP="00E454C1">
            <w:pPr>
              <w:spacing w:line="276" w:lineRule="auto"/>
              <w:jc w:val="center"/>
              <w:rPr>
                <w:rFonts w:ascii="Calibri" w:hAnsi="Calibri" w:cs="Calibri"/>
                <w:b/>
                <w:bCs/>
                <w:color w:val="000000" w:themeColor="text1"/>
                <w:sz w:val="20"/>
                <w:szCs w:val="20"/>
              </w:rPr>
            </w:pPr>
            <w:r w:rsidRPr="00D8125E">
              <w:rPr>
                <w:rFonts w:ascii="Calibri" w:hAnsi="Calibri" w:cs="Calibri"/>
                <w:b/>
                <w:bCs/>
                <w:color w:val="000000" w:themeColor="text1"/>
                <w:sz w:val="20"/>
                <w:szCs w:val="20"/>
              </w:rPr>
              <w:t>Additional inclusion criteria</w:t>
            </w:r>
          </w:p>
        </w:tc>
        <w:tc>
          <w:tcPr>
            <w:tcW w:w="1885" w:type="dxa"/>
          </w:tcPr>
          <w:p w14:paraId="54C63155" w14:textId="77777777" w:rsidR="00202FCA" w:rsidRPr="00D8125E" w:rsidRDefault="00202FCA" w:rsidP="00E454C1">
            <w:pPr>
              <w:spacing w:line="276" w:lineRule="auto"/>
              <w:jc w:val="center"/>
              <w:rPr>
                <w:rFonts w:ascii="Calibri" w:hAnsi="Calibri" w:cs="Calibri"/>
                <w:b/>
                <w:bCs/>
                <w:color w:val="000000" w:themeColor="text1"/>
                <w:sz w:val="20"/>
                <w:szCs w:val="20"/>
              </w:rPr>
            </w:pPr>
            <w:r w:rsidRPr="00D8125E">
              <w:rPr>
                <w:rFonts w:ascii="Calibri" w:hAnsi="Calibri" w:cs="Calibri"/>
                <w:b/>
                <w:bCs/>
                <w:color w:val="000000" w:themeColor="text1"/>
                <w:sz w:val="20"/>
                <w:szCs w:val="20"/>
              </w:rPr>
              <w:t xml:space="preserve">Exclusion Epilepsy ICD codes in group </w:t>
            </w:r>
            <w:proofErr w:type="gramStart"/>
            <w:r w:rsidRPr="00D8125E">
              <w:rPr>
                <w:rFonts w:ascii="Calibri" w:hAnsi="Calibri" w:cs="Calibri"/>
                <w:b/>
                <w:bCs/>
                <w:color w:val="000000" w:themeColor="text1"/>
                <w:sz w:val="20"/>
                <w:szCs w:val="20"/>
              </w:rPr>
              <w:t>( &gt;</w:t>
            </w:r>
            <w:proofErr w:type="gramEnd"/>
            <w:r w:rsidRPr="00D8125E">
              <w:rPr>
                <w:rFonts w:ascii="Calibri" w:hAnsi="Calibri" w:cs="Calibri"/>
                <w:b/>
                <w:bCs/>
                <w:color w:val="000000" w:themeColor="text1"/>
                <w:sz w:val="20"/>
                <w:szCs w:val="20"/>
              </w:rPr>
              <w:t>= 1)</w:t>
            </w:r>
          </w:p>
        </w:tc>
      </w:tr>
      <w:tr w:rsidR="00202FCA" w:rsidRPr="00D8125E" w14:paraId="3E6465F6" w14:textId="77777777" w:rsidTr="00E454C1">
        <w:trPr>
          <w:jc w:val="center"/>
        </w:trPr>
        <w:tc>
          <w:tcPr>
            <w:tcW w:w="2065" w:type="dxa"/>
          </w:tcPr>
          <w:p w14:paraId="2F8FE661"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“Psychogenic non-epileptic”</w:t>
            </w:r>
          </w:p>
          <w:p w14:paraId="3E85F187"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i/>
                <w:iCs/>
                <w:color w:val="000000" w:themeColor="text1"/>
                <w:sz w:val="20"/>
                <w:szCs w:val="20"/>
              </w:rPr>
              <w:t>(</w:t>
            </w:r>
            <w:proofErr w:type="gramStart"/>
            <w:r w:rsidRPr="00D8125E">
              <w:rPr>
                <w:rFonts w:ascii="Calibri" w:hAnsi="Calibri" w:cs="Calibri"/>
                <w:i/>
                <w:iCs/>
                <w:color w:val="000000" w:themeColor="text1"/>
                <w:sz w:val="20"/>
                <w:szCs w:val="20"/>
              </w:rPr>
              <w:t>or</w:t>
            </w:r>
            <w:proofErr w:type="gramEnd"/>
            <w:r w:rsidRPr="00D8125E">
              <w:rPr>
                <w:rFonts w:ascii="Calibri" w:hAnsi="Calibri" w:cs="Calibri"/>
                <w:i/>
                <w:iCs/>
                <w:color w:val="000000" w:themeColor="text1"/>
                <w:sz w:val="20"/>
                <w:szCs w:val="20"/>
              </w:rPr>
              <w:t xml:space="preserve"> nonepileptic or </w:t>
            </w:r>
            <w:proofErr w:type="spellStart"/>
            <w:r w:rsidRPr="00D8125E">
              <w:rPr>
                <w:rFonts w:ascii="Calibri" w:hAnsi="Calibri" w:cs="Calibri"/>
                <w:i/>
                <w:iCs/>
                <w:color w:val="000000" w:themeColor="text1"/>
                <w:sz w:val="20"/>
                <w:szCs w:val="20"/>
              </w:rPr>
              <w:t>non epileptic</w:t>
            </w:r>
            <w:proofErr w:type="spellEnd"/>
            <w:r w:rsidRPr="00D8125E">
              <w:rPr>
                <w:rFonts w:ascii="Calibri" w:hAnsi="Calibri" w:cs="Calibri"/>
                <w:i/>
                <w:iCs/>
                <w:color w:val="000000" w:themeColor="text1"/>
                <w:sz w:val="20"/>
                <w:szCs w:val="20"/>
              </w:rPr>
              <w:t>)</w:t>
            </w:r>
          </w:p>
        </w:tc>
        <w:tc>
          <w:tcPr>
            <w:tcW w:w="1530" w:type="dxa"/>
          </w:tcPr>
          <w:p w14:paraId="338F9D2A"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300.11 – conversion disorder</w:t>
            </w:r>
          </w:p>
        </w:tc>
        <w:tc>
          <w:tcPr>
            <w:tcW w:w="2250" w:type="dxa"/>
          </w:tcPr>
          <w:p w14:paraId="278D14EC"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Group 95812-95830: Routine Electroencephalography (EEG) Procedures</w:t>
            </w:r>
          </w:p>
        </w:tc>
        <w:tc>
          <w:tcPr>
            <w:tcW w:w="1620" w:type="dxa"/>
          </w:tcPr>
          <w:p w14:paraId="6A687235"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Genotyping data available</w:t>
            </w:r>
          </w:p>
        </w:tc>
        <w:tc>
          <w:tcPr>
            <w:tcW w:w="1885" w:type="dxa"/>
          </w:tcPr>
          <w:p w14:paraId="43F2383D"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345.1</w:t>
            </w:r>
          </w:p>
        </w:tc>
      </w:tr>
      <w:tr w:rsidR="00202FCA" w:rsidRPr="00D8125E" w14:paraId="5FC34F25" w14:textId="77777777" w:rsidTr="00E454C1">
        <w:trPr>
          <w:jc w:val="center"/>
        </w:trPr>
        <w:tc>
          <w:tcPr>
            <w:tcW w:w="2065" w:type="dxa"/>
          </w:tcPr>
          <w:p w14:paraId="2CA85420"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roofErr w:type="spellStart"/>
            <w:r w:rsidRPr="00D8125E">
              <w:rPr>
                <w:rFonts w:ascii="Calibri" w:hAnsi="Calibri" w:cs="Calibri"/>
                <w:color w:val="000000" w:themeColor="text1"/>
                <w:sz w:val="20"/>
                <w:szCs w:val="20"/>
              </w:rPr>
              <w:t>Pseudoseizure</w:t>
            </w:r>
            <w:proofErr w:type="spellEnd"/>
            <w:r w:rsidRPr="00D8125E">
              <w:rPr>
                <w:rFonts w:ascii="Calibri" w:hAnsi="Calibri" w:cs="Calibri"/>
                <w:color w:val="000000" w:themeColor="text1"/>
                <w:sz w:val="20"/>
                <w:szCs w:val="20"/>
              </w:rPr>
              <w:t>”</w:t>
            </w:r>
          </w:p>
        </w:tc>
        <w:tc>
          <w:tcPr>
            <w:tcW w:w="1530" w:type="dxa"/>
          </w:tcPr>
          <w:p w14:paraId="50B02D96"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780.39 – other convulsions</w:t>
            </w:r>
          </w:p>
        </w:tc>
        <w:tc>
          <w:tcPr>
            <w:tcW w:w="2250" w:type="dxa"/>
          </w:tcPr>
          <w:p w14:paraId="11D1A4CB"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Group 95950-95967: Special EEG Testing Procedures</w:t>
            </w:r>
          </w:p>
        </w:tc>
        <w:tc>
          <w:tcPr>
            <w:tcW w:w="1620" w:type="dxa"/>
          </w:tcPr>
          <w:p w14:paraId="32ABB64C"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Presence of keyword “EEG” in chart</w:t>
            </w:r>
          </w:p>
        </w:tc>
        <w:tc>
          <w:tcPr>
            <w:tcW w:w="1885" w:type="dxa"/>
          </w:tcPr>
          <w:p w14:paraId="007D3E15"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345.10</w:t>
            </w:r>
          </w:p>
        </w:tc>
      </w:tr>
      <w:tr w:rsidR="00202FCA" w:rsidRPr="00D8125E" w14:paraId="3E111871" w14:textId="77777777" w:rsidTr="00E454C1">
        <w:trPr>
          <w:jc w:val="center"/>
        </w:trPr>
        <w:tc>
          <w:tcPr>
            <w:tcW w:w="2065" w:type="dxa"/>
          </w:tcPr>
          <w:p w14:paraId="62C01C07"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“Psychogenic seizure”</w:t>
            </w:r>
          </w:p>
        </w:tc>
        <w:tc>
          <w:tcPr>
            <w:tcW w:w="1530" w:type="dxa"/>
          </w:tcPr>
          <w:p w14:paraId="7F0018D3"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R56.9 – unspecified convulsions</w:t>
            </w:r>
          </w:p>
        </w:tc>
        <w:tc>
          <w:tcPr>
            <w:tcW w:w="2250" w:type="dxa"/>
          </w:tcPr>
          <w:p w14:paraId="41C54027"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620" w:type="dxa"/>
          </w:tcPr>
          <w:p w14:paraId="473AE86B"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885" w:type="dxa"/>
          </w:tcPr>
          <w:p w14:paraId="39F318F4"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345.4</w:t>
            </w:r>
          </w:p>
        </w:tc>
      </w:tr>
      <w:tr w:rsidR="00202FCA" w:rsidRPr="00D8125E" w14:paraId="614772CC" w14:textId="77777777" w:rsidTr="00E454C1">
        <w:trPr>
          <w:jc w:val="center"/>
        </w:trPr>
        <w:tc>
          <w:tcPr>
            <w:tcW w:w="2065" w:type="dxa"/>
          </w:tcPr>
          <w:p w14:paraId="30E36BB0"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“Non-epileptic seizure”</w:t>
            </w:r>
          </w:p>
          <w:p w14:paraId="1FA7011A"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i/>
                <w:iCs/>
                <w:color w:val="000000" w:themeColor="text1"/>
                <w:sz w:val="20"/>
                <w:szCs w:val="20"/>
              </w:rPr>
              <w:t>(</w:t>
            </w:r>
            <w:proofErr w:type="gramStart"/>
            <w:r w:rsidRPr="00D8125E">
              <w:rPr>
                <w:rFonts w:ascii="Calibri" w:hAnsi="Calibri" w:cs="Calibri"/>
                <w:i/>
                <w:iCs/>
                <w:color w:val="000000" w:themeColor="text1"/>
                <w:sz w:val="20"/>
                <w:szCs w:val="20"/>
              </w:rPr>
              <w:t>or</w:t>
            </w:r>
            <w:proofErr w:type="gramEnd"/>
            <w:r w:rsidRPr="00D8125E">
              <w:rPr>
                <w:rFonts w:ascii="Calibri" w:hAnsi="Calibri" w:cs="Calibri"/>
                <w:i/>
                <w:iCs/>
                <w:color w:val="000000" w:themeColor="text1"/>
                <w:sz w:val="20"/>
                <w:szCs w:val="20"/>
              </w:rPr>
              <w:t xml:space="preserve"> nonepileptic or </w:t>
            </w:r>
            <w:proofErr w:type="spellStart"/>
            <w:r w:rsidRPr="00D8125E">
              <w:rPr>
                <w:rFonts w:ascii="Calibri" w:hAnsi="Calibri" w:cs="Calibri"/>
                <w:i/>
                <w:iCs/>
                <w:color w:val="000000" w:themeColor="text1"/>
                <w:sz w:val="20"/>
                <w:szCs w:val="20"/>
              </w:rPr>
              <w:t>non epileptic</w:t>
            </w:r>
            <w:proofErr w:type="spellEnd"/>
            <w:r w:rsidRPr="00D8125E">
              <w:rPr>
                <w:rFonts w:ascii="Calibri" w:hAnsi="Calibri" w:cs="Calibri"/>
                <w:i/>
                <w:iCs/>
                <w:color w:val="000000" w:themeColor="text1"/>
                <w:sz w:val="20"/>
                <w:szCs w:val="20"/>
              </w:rPr>
              <w:t>)</w:t>
            </w:r>
          </w:p>
        </w:tc>
        <w:tc>
          <w:tcPr>
            <w:tcW w:w="1530" w:type="dxa"/>
          </w:tcPr>
          <w:p w14:paraId="64E204D4"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F44.5 – conversion disorder with seizures or convulsions</w:t>
            </w:r>
          </w:p>
        </w:tc>
        <w:tc>
          <w:tcPr>
            <w:tcW w:w="2250" w:type="dxa"/>
          </w:tcPr>
          <w:p w14:paraId="4DE036AB"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620" w:type="dxa"/>
          </w:tcPr>
          <w:p w14:paraId="2D9E2F6A"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885" w:type="dxa"/>
          </w:tcPr>
          <w:p w14:paraId="288DC190"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345.40</w:t>
            </w:r>
          </w:p>
        </w:tc>
      </w:tr>
      <w:tr w:rsidR="00202FCA" w:rsidRPr="00D8125E" w14:paraId="6AD01C98" w14:textId="77777777" w:rsidTr="00E454C1">
        <w:trPr>
          <w:jc w:val="center"/>
        </w:trPr>
        <w:tc>
          <w:tcPr>
            <w:tcW w:w="2065" w:type="dxa"/>
          </w:tcPr>
          <w:p w14:paraId="0D0BF2E0" w14:textId="77777777" w:rsidR="00202FCA" w:rsidRPr="00D8125E" w:rsidRDefault="00202FCA" w:rsidP="00E454C1">
            <w:pPr>
              <w:spacing w:line="276" w:lineRule="auto"/>
              <w:jc w:val="center"/>
              <w:rPr>
                <w:rFonts w:ascii="Calibri" w:hAnsi="Calibri" w:cs="Calibri"/>
                <w:color w:val="000000" w:themeColor="text1"/>
                <w:sz w:val="20"/>
                <w:szCs w:val="20"/>
              </w:rPr>
            </w:pPr>
            <w:proofErr w:type="gramStart"/>
            <w:r w:rsidRPr="00D8125E">
              <w:rPr>
                <w:rFonts w:ascii="Calibri" w:hAnsi="Calibri" w:cs="Calibri"/>
                <w:color w:val="000000" w:themeColor="text1"/>
                <w:sz w:val="20"/>
                <w:szCs w:val="20"/>
              </w:rPr>
              <w:t>“ PNES</w:t>
            </w:r>
            <w:proofErr w:type="gramEnd"/>
            <w:r w:rsidRPr="00D8125E">
              <w:rPr>
                <w:rFonts w:ascii="Calibri" w:hAnsi="Calibri" w:cs="Calibri"/>
                <w:color w:val="000000" w:themeColor="text1"/>
                <w:sz w:val="20"/>
                <w:szCs w:val="20"/>
              </w:rPr>
              <w:t xml:space="preserve"> "</w:t>
            </w:r>
          </w:p>
        </w:tc>
        <w:tc>
          <w:tcPr>
            <w:tcW w:w="1530" w:type="dxa"/>
          </w:tcPr>
          <w:p w14:paraId="1E712B08"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2250" w:type="dxa"/>
          </w:tcPr>
          <w:p w14:paraId="768C9976"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620" w:type="dxa"/>
          </w:tcPr>
          <w:p w14:paraId="0AE82F9E"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885" w:type="dxa"/>
          </w:tcPr>
          <w:p w14:paraId="08777BAC"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345.5</w:t>
            </w:r>
          </w:p>
        </w:tc>
      </w:tr>
      <w:tr w:rsidR="00202FCA" w:rsidRPr="00D8125E" w14:paraId="3D7DE627" w14:textId="77777777" w:rsidTr="00E454C1">
        <w:trPr>
          <w:jc w:val="center"/>
        </w:trPr>
        <w:tc>
          <w:tcPr>
            <w:tcW w:w="2065" w:type="dxa"/>
          </w:tcPr>
          <w:p w14:paraId="4CE5EC61"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530" w:type="dxa"/>
          </w:tcPr>
          <w:p w14:paraId="2BAA1424"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2250" w:type="dxa"/>
          </w:tcPr>
          <w:p w14:paraId="36D366D2"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620" w:type="dxa"/>
          </w:tcPr>
          <w:p w14:paraId="671C538A"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885" w:type="dxa"/>
          </w:tcPr>
          <w:p w14:paraId="44BDB963"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345.50</w:t>
            </w:r>
          </w:p>
        </w:tc>
      </w:tr>
      <w:tr w:rsidR="00202FCA" w:rsidRPr="00D8125E" w14:paraId="25814325" w14:textId="77777777" w:rsidTr="00E454C1">
        <w:trPr>
          <w:jc w:val="center"/>
        </w:trPr>
        <w:tc>
          <w:tcPr>
            <w:tcW w:w="2065" w:type="dxa"/>
          </w:tcPr>
          <w:p w14:paraId="21F3422F"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530" w:type="dxa"/>
          </w:tcPr>
          <w:p w14:paraId="0C3EBAA7"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2250" w:type="dxa"/>
          </w:tcPr>
          <w:p w14:paraId="5D8B4746"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620" w:type="dxa"/>
          </w:tcPr>
          <w:p w14:paraId="433A2185"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885" w:type="dxa"/>
          </w:tcPr>
          <w:p w14:paraId="2824C409"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G40.20</w:t>
            </w:r>
          </w:p>
        </w:tc>
      </w:tr>
      <w:tr w:rsidR="00202FCA" w:rsidRPr="00D8125E" w14:paraId="172CE01F" w14:textId="77777777" w:rsidTr="00E454C1">
        <w:trPr>
          <w:jc w:val="center"/>
        </w:trPr>
        <w:tc>
          <w:tcPr>
            <w:tcW w:w="2065" w:type="dxa"/>
          </w:tcPr>
          <w:p w14:paraId="6AF9ACEB"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530" w:type="dxa"/>
          </w:tcPr>
          <w:p w14:paraId="076BA258"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2250" w:type="dxa"/>
          </w:tcPr>
          <w:p w14:paraId="473FBDE5"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620" w:type="dxa"/>
          </w:tcPr>
          <w:p w14:paraId="7364CF4F"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885" w:type="dxa"/>
          </w:tcPr>
          <w:p w14:paraId="7D71F0B9"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G40.30</w:t>
            </w:r>
          </w:p>
        </w:tc>
      </w:tr>
      <w:tr w:rsidR="00202FCA" w:rsidRPr="00D8125E" w14:paraId="7507D425" w14:textId="77777777" w:rsidTr="00E454C1">
        <w:trPr>
          <w:jc w:val="center"/>
        </w:trPr>
        <w:tc>
          <w:tcPr>
            <w:tcW w:w="2065" w:type="dxa"/>
          </w:tcPr>
          <w:p w14:paraId="2F9EC2EE"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530" w:type="dxa"/>
          </w:tcPr>
          <w:p w14:paraId="78A8EABE"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2250" w:type="dxa"/>
          </w:tcPr>
          <w:p w14:paraId="03426367"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620" w:type="dxa"/>
          </w:tcPr>
          <w:p w14:paraId="24EC1AF2"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885" w:type="dxa"/>
          </w:tcPr>
          <w:p w14:paraId="10D2760F"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G40.00</w:t>
            </w:r>
          </w:p>
        </w:tc>
      </w:tr>
      <w:tr w:rsidR="00202FCA" w:rsidRPr="00D8125E" w14:paraId="0D951D67" w14:textId="77777777" w:rsidTr="00E454C1">
        <w:trPr>
          <w:jc w:val="center"/>
        </w:trPr>
        <w:tc>
          <w:tcPr>
            <w:tcW w:w="2065" w:type="dxa"/>
          </w:tcPr>
          <w:p w14:paraId="48628035"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530" w:type="dxa"/>
          </w:tcPr>
          <w:p w14:paraId="05DD5955"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2250" w:type="dxa"/>
          </w:tcPr>
          <w:p w14:paraId="17B8D0D2"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620" w:type="dxa"/>
          </w:tcPr>
          <w:p w14:paraId="282FD1F2"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w:t>
            </w:r>
          </w:p>
        </w:tc>
        <w:tc>
          <w:tcPr>
            <w:tcW w:w="1885" w:type="dxa"/>
          </w:tcPr>
          <w:p w14:paraId="4D95F998" w14:textId="77777777" w:rsidR="00202FCA" w:rsidRPr="00D8125E" w:rsidRDefault="00202FCA" w:rsidP="00E454C1">
            <w:pPr>
              <w:spacing w:line="276" w:lineRule="auto"/>
              <w:jc w:val="center"/>
              <w:rPr>
                <w:rFonts w:ascii="Calibri" w:hAnsi="Calibri" w:cs="Calibri"/>
                <w:color w:val="000000" w:themeColor="text1"/>
                <w:sz w:val="20"/>
                <w:szCs w:val="20"/>
              </w:rPr>
            </w:pPr>
            <w:r w:rsidRPr="00D8125E">
              <w:rPr>
                <w:rFonts w:ascii="Calibri" w:hAnsi="Calibri" w:cs="Calibri"/>
                <w:color w:val="000000" w:themeColor="text1"/>
                <w:sz w:val="20"/>
                <w:szCs w:val="20"/>
              </w:rPr>
              <w:t>G40.10</w:t>
            </w:r>
          </w:p>
        </w:tc>
      </w:tr>
    </w:tbl>
    <w:p w14:paraId="2C95C273" w14:textId="77777777" w:rsidR="00202FCA" w:rsidRPr="0002645D" w:rsidRDefault="00202FCA" w:rsidP="00202FCA">
      <w:pPr>
        <w:rPr>
          <w:b/>
          <w:bCs/>
          <w:color w:val="000000" w:themeColor="text1"/>
          <w:sz w:val="20"/>
          <w:szCs w:val="20"/>
        </w:rPr>
      </w:pPr>
    </w:p>
    <w:p w14:paraId="08517AF1" w14:textId="77777777" w:rsidR="00202FCA" w:rsidRPr="0002645D" w:rsidRDefault="00202FCA" w:rsidP="00202FCA">
      <w:pPr>
        <w:spacing w:line="480" w:lineRule="auto"/>
        <w:jc w:val="center"/>
        <w:rPr>
          <w:color w:val="000000" w:themeColor="text1"/>
          <w:sz w:val="20"/>
          <w:szCs w:val="20"/>
        </w:rPr>
      </w:pPr>
      <w:r w:rsidRPr="0002645D">
        <w:rPr>
          <w:b/>
          <w:bCs/>
          <w:color w:val="000000" w:themeColor="text1"/>
          <w:sz w:val="20"/>
          <w:szCs w:val="20"/>
        </w:rPr>
        <w:t xml:space="preserve">Table 1. </w:t>
      </w:r>
      <w:r w:rsidRPr="0002645D">
        <w:rPr>
          <w:rFonts w:eastAsiaTheme="minorEastAsia"/>
          <w:color w:val="000000" w:themeColor="text1"/>
          <w:sz w:val="20"/>
          <w:szCs w:val="20"/>
        </w:rPr>
        <w:t xml:space="preserve">Criteria for algorithm to identify </w:t>
      </w:r>
      <w:r>
        <w:rPr>
          <w:rFonts w:eastAsiaTheme="minorEastAsia"/>
          <w:color w:val="000000" w:themeColor="text1"/>
          <w:sz w:val="20"/>
          <w:szCs w:val="20"/>
        </w:rPr>
        <w:t>FS</w:t>
      </w:r>
      <w:r w:rsidRPr="0002645D">
        <w:rPr>
          <w:rFonts w:eastAsiaTheme="minorEastAsia"/>
          <w:color w:val="000000" w:themeColor="text1"/>
          <w:sz w:val="20"/>
          <w:szCs w:val="20"/>
        </w:rPr>
        <w:t xml:space="preserve"> patients</w:t>
      </w:r>
      <w:r w:rsidRPr="0002645D">
        <w:rPr>
          <w:color w:val="000000" w:themeColor="text1"/>
          <w:sz w:val="20"/>
          <w:szCs w:val="20"/>
        </w:rPr>
        <w:t>, excluding those who have concurrent epilepsy. Inclusion ICD codes, inclusion keywords and other criteria, and exclusion ICD codes are all listed.</w:t>
      </w:r>
    </w:p>
    <w:p w14:paraId="38E615C4" w14:textId="77777777" w:rsidR="00202FCA" w:rsidRPr="0002645D" w:rsidRDefault="00202FCA" w:rsidP="00202FCA">
      <w:pPr>
        <w:spacing w:line="480" w:lineRule="auto"/>
        <w:jc w:val="center"/>
        <w:rPr>
          <w:color w:val="000000" w:themeColor="text1"/>
          <w:sz w:val="20"/>
          <w:szCs w:val="20"/>
        </w:rPr>
      </w:pPr>
    </w:p>
    <w:p w14:paraId="6DDDCC1A" w14:textId="77777777" w:rsidR="00202FCA" w:rsidRPr="0002645D" w:rsidRDefault="00202FCA" w:rsidP="00202FCA">
      <w:pPr>
        <w:spacing w:line="480" w:lineRule="auto"/>
        <w:jc w:val="center"/>
        <w:rPr>
          <w:color w:val="000000" w:themeColor="text1"/>
          <w:sz w:val="20"/>
          <w:szCs w:val="20"/>
        </w:rPr>
      </w:pPr>
    </w:p>
    <w:tbl>
      <w:tblPr>
        <w:tblStyle w:val="TableGrid"/>
        <w:tblW w:w="0" w:type="auto"/>
        <w:jc w:val="center"/>
        <w:tblLook w:val="04A0" w:firstRow="1" w:lastRow="0" w:firstColumn="1" w:lastColumn="0" w:noHBand="0" w:noVBand="1"/>
      </w:tblPr>
      <w:tblGrid>
        <w:gridCol w:w="2515"/>
        <w:gridCol w:w="2340"/>
        <w:gridCol w:w="2250"/>
        <w:gridCol w:w="2180"/>
      </w:tblGrid>
      <w:tr w:rsidR="00202FCA" w:rsidRPr="00D8125E" w14:paraId="5252B27B" w14:textId="77777777" w:rsidTr="00E454C1">
        <w:trPr>
          <w:trHeight w:val="107"/>
          <w:jc w:val="center"/>
        </w:trPr>
        <w:tc>
          <w:tcPr>
            <w:tcW w:w="2515" w:type="dxa"/>
          </w:tcPr>
          <w:p w14:paraId="70EC01B8" w14:textId="77777777" w:rsidR="00202FCA" w:rsidRPr="00D8125E" w:rsidRDefault="00202FCA" w:rsidP="00E454C1">
            <w:pPr>
              <w:spacing w:line="276" w:lineRule="auto"/>
              <w:jc w:val="center"/>
              <w:rPr>
                <w:b/>
                <w:bCs/>
                <w:color w:val="000000" w:themeColor="text1"/>
                <w:sz w:val="20"/>
                <w:szCs w:val="20"/>
              </w:rPr>
            </w:pPr>
            <w:r w:rsidRPr="00D8125E">
              <w:rPr>
                <w:b/>
                <w:bCs/>
                <w:color w:val="000000" w:themeColor="text1"/>
                <w:sz w:val="20"/>
                <w:szCs w:val="20"/>
              </w:rPr>
              <w:t xml:space="preserve">FS inclusion keywords </w:t>
            </w:r>
            <w:proofErr w:type="gramStart"/>
            <w:r w:rsidRPr="00D8125E">
              <w:rPr>
                <w:b/>
                <w:bCs/>
                <w:color w:val="000000" w:themeColor="text1"/>
                <w:sz w:val="20"/>
                <w:szCs w:val="20"/>
              </w:rPr>
              <w:t>( &gt;</w:t>
            </w:r>
            <w:proofErr w:type="gramEnd"/>
            <w:r w:rsidRPr="00D8125E">
              <w:rPr>
                <w:b/>
                <w:bCs/>
                <w:color w:val="000000" w:themeColor="text1"/>
                <w:sz w:val="20"/>
                <w:szCs w:val="20"/>
              </w:rPr>
              <w:t>= 1)</w:t>
            </w:r>
          </w:p>
        </w:tc>
        <w:tc>
          <w:tcPr>
            <w:tcW w:w="2340" w:type="dxa"/>
          </w:tcPr>
          <w:p w14:paraId="290AEED9" w14:textId="77777777" w:rsidR="00202FCA" w:rsidRPr="00D8125E" w:rsidRDefault="00202FCA" w:rsidP="00E454C1">
            <w:pPr>
              <w:spacing w:line="276" w:lineRule="auto"/>
              <w:jc w:val="center"/>
              <w:rPr>
                <w:b/>
                <w:bCs/>
                <w:color w:val="000000" w:themeColor="text1"/>
                <w:sz w:val="20"/>
                <w:szCs w:val="20"/>
              </w:rPr>
            </w:pPr>
            <w:r w:rsidRPr="00D8125E">
              <w:rPr>
                <w:b/>
                <w:bCs/>
                <w:color w:val="000000" w:themeColor="text1"/>
                <w:sz w:val="20"/>
                <w:szCs w:val="20"/>
              </w:rPr>
              <w:t xml:space="preserve">Inclusion ICD codes </w:t>
            </w:r>
            <w:proofErr w:type="gramStart"/>
            <w:r w:rsidRPr="00D8125E">
              <w:rPr>
                <w:b/>
                <w:bCs/>
                <w:color w:val="000000" w:themeColor="text1"/>
                <w:sz w:val="20"/>
                <w:szCs w:val="20"/>
              </w:rPr>
              <w:t>( &gt;</w:t>
            </w:r>
            <w:proofErr w:type="gramEnd"/>
            <w:r w:rsidRPr="00D8125E">
              <w:rPr>
                <w:b/>
                <w:bCs/>
                <w:color w:val="000000" w:themeColor="text1"/>
                <w:sz w:val="20"/>
                <w:szCs w:val="20"/>
              </w:rPr>
              <w:t>= 1)</w:t>
            </w:r>
          </w:p>
        </w:tc>
        <w:tc>
          <w:tcPr>
            <w:tcW w:w="2250" w:type="dxa"/>
          </w:tcPr>
          <w:p w14:paraId="2379D02D" w14:textId="77777777" w:rsidR="00202FCA" w:rsidRPr="00D8125E" w:rsidRDefault="00202FCA" w:rsidP="00E454C1">
            <w:pPr>
              <w:spacing w:line="276" w:lineRule="auto"/>
              <w:jc w:val="center"/>
              <w:rPr>
                <w:b/>
                <w:bCs/>
                <w:color w:val="000000" w:themeColor="text1"/>
                <w:sz w:val="20"/>
                <w:szCs w:val="20"/>
              </w:rPr>
            </w:pPr>
            <w:r w:rsidRPr="00D8125E">
              <w:rPr>
                <w:b/>
                <w:bCs/>
                <w:color w:val="000000" w:themeColor="text1"/>
                <w:sz w:val="20"/>
                <w:szCs w:val="20"/>
              </w:rPr>
              <w:t xml:space="preserve">Inclusion CPT codes </w:t>
            </w:r>
            <w:proofErr w:type="gramStart"/>
            <w:r w:rsidRPr="00D8125E">
              <w:rPr>
                <w:b/>
                <w:bCs/>
                <w:color w:val="000000" w:themeColor="text1"/>
                <w:sz w:val="20"/>
                <w:szCs w:val="20"/>
              </w:rPr>
              <w:t>( &gt;</w:t>
            </w:r>
            <w:proofErr w:type="gramEnd"/>
            <w:r w:rsidRPr="00D8125E">
              <w:rPr>
                <w:b/>
                <w:bCs/>
                <w:color w:val="000000" w:themeColor="text1"/>
                <w:sz w:val="20"/>
                <w:szCs w:val="20"/>
              </w:rPr>
              <w:t>= 1)</w:t>
            </w:r>
          </w:p>
        </w:tc>
        <w:tc>
          <w:tcPr>
            <w:tcW w:w="2180" w:type="dxa"/>
          </w:tcPr>
          <w:p w14:paraId="133423EB" w14:textId="77777777" w:rsidR="00202FCA" w:rsidRPr="00D8125E" w:rsidRDefault="00202FCA" w:rsidP="00E454C1">
            <w:pPr>
              <w:spacing w:line="276" w:lineRule="auto"/>
              <w:jc w:val="center"/>
              <w:rPr>
                <w:b/>
                <w:bCs/>
                <w:color w:val="000000" w:themeColor="text1"/>
                <w:sz w:val="20"/>
                <w:szCs w:val="20"/>
              </w:rPr>
            </w:pPr>
            <w:r w:rsidRPr="00D8125E">
              <w:rPr>
                <w:b/>
                <w:bCs/>
                <w:color w:val="000000" w:themeColor="text1"/>
                <w:sz w:val="20"/>
                <w:szCs w:val="20"/>
              </w:rPr>
              <w:t>Additional inclusion criteria</w:t>
            </w:r>
          </w:p>
        </w:tc>
      </w:tr>
      <w:tr w:rsidR="00202FCA" w:rsidRPr="00D8125E" w14:paraId="1723A89A" w14:textId="77777777" w:rsidTr="00E454C1">
        <w:trPr>
          <w:jc w:val="center"/>
        </w:trPr>
        <w:tc>
          <w:tcPr>
            <w:tcW w:w="2515" w:type="dxa"/>
          </w:tcPr>
          <w:p w14:paraId="4995F6CB"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“Psychogenic non-epileptic”</w:t>
            </w:r>
          </w:p>
          <w:p w14:paraId="1929A8FC" w14:textId="77777777" w:rsidR="00202FCA" w:rsidRPr="00D8125E" w:rsidRDefault="00202FCA" w:rsidP="00E454C1">
            <w:pPr>
              <w:spacing w:line="276" w:lineRule="auto"/>
              <w:jc w:val="center"/>
              <w:rPr>
                <w:color w:val="000000" w:themeColor="text1"/>
                <w:sz w:val="20"/>
                <w:szCs w:val="20"/>
              </w:rPr>
            </w:pPr>
            <w:r w:rsidRPr="00D8125E">
              <w:rPr>
                <w:i/>
                <w:iCs/>
                <w:color w:val="000000" w:themeColor="text1"/>
                <w:sz w:val="20"/>
                <w:szCs w:val="20"/>
              </w:rPr>
              <w:t>(</w:t>
            </w:r>
            <w:proofErr w:type="gramStart"/>
            <w:r w:rsidRPr="00D8125E">
              <w:rPr>
                <w:i/>
                <w:iCs/>
                <w:color w:val="000000" w:themeColor="text1"/>
                <w:sz w:val="20"/>
                <w:szCs w:val="20"/>
              </w:rPr>
              <w:t>or</w:t>
            </w:r>
            <w:proofErr w:type="gramEnd"/>
            <w:r w:rsidRPr="00D8125E">
              <w:rPr>
                <w:i/>
                <w:iCs/>
                <w:color w:val="000000" w:themeColor="text1"/>
                <w:sz w:val="20"/>
                <w:szCs w:val="20"/>
              </w:rPr>
              <w:t xml:space="preserve"> nonepileptic or </w:t>
            </w:r>
            <w:proofErr w:type="spellStart"/>
            <w:r w:rsidRPr="00D8125E">
              <w:rPr>
                <w:i/>
                <w:iCs/>
                <w:color w:val="000000" w:themeColor="text1"/>
                <w:sz w:val="20"/>
                <w:szCs w:val="20"/>
              </w:rPr>
              <w:t>non epileptic</w:t>
            </w:r>
            <w:proofErr w:type="spellEnd"/>
            <w:r w:rsidRPr="00D8125E">
              <w:rPr>
                <w:i/>
                <w:iCs/>
                <w:color w:val="000000" w:themeColor="text1"/>
                <w:sz w:val="20"/>
                <w:szCs w:val="20"/>
              </w:rPr>
              <w:t>)</w:t>
            </w:r>
          </w:p>
        </w:tc>
        <w:tc>
          <w:tcPr>
            <w:tcW w:w="2340" w:type="dxa"/>
          </w:tcPr>
          <w:p w14:paraId="6E4479DA"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300.11 – conversion disorder</w:t>
            </w:r>
          </w:p>
        </w:tc>
        <w:tc>
          <w:tcPr>
            <w:tcW w:w="2250" w:type="dxa"/>
          </w:tcPr>
          <w:p w14:paraId="540383C6"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Group 95812-95830: Routine Electroencephalography (EEG) Procedures</w:t>
            </w:r>
          </w:p>
        </w:tc>
        <w:tc>
          <w:tcPr>
            <w:tcW w:w="2180" w:type="dxa"/>
          </w:tcPr>
          <w:p w14:paraId="25E32C35"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Genotyping data available</w:t>
            </w:r>
          </w:p>
        </w:tc>
      </w:tr>
      <w:tr w:rsidR="00202FCA" w:rsidRPr="00D8125E" w14:paraId="5F6C874D" w14:textId="77777777" w:rsidTr="00E454C1">
        <w:trPr>
          <w:jc w:val="center"/>
        </w:trPr>
        <w:tc>
          <w:tcPr>
            <w:tcW w:w="2515" w:type="dxa"/>
          </w:tcPr>
          <w:p w14:paraId="4E07CA07"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w:t>
            </w:r>
            <w:proofErr w:type="spellStart"/>
            <w:r w:rsidRPr="00D8125E">
              <w:rPr>
                <w:color w:val="000000" w:themeColor="text1"/>
                <w:sz w:val="20"/>
                <w:szCs w:val="20"/>
              </w:rPr>
              <w:t>Pseudoseizure</w:t>
            </w:r>
            <w:proofErr w:type="spellEnd"/>
            <w:r w:rsidRPr="00D8125E">
              <w:rPr>
                <w:color w:val="000000" w:themeColor="text1"/>
                <w:sz w:val="20"/>
                <w:szCs w:val="20"/>
              </w:rPr>
              <w:t>”</w:t>
            </w:r>
          </w:p>
        </w:tc>
        <w:tc>
          <w:tcPr>
            <w:tcW w:w="2340" w:type="dxa"/>
          </w:tcPr>
          <w:p w14:paraId="1BDE3D38"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780.39 – other convulsions</w:t>
            </w:r>
          </w:p>
        </w:tc>
        <w:tc>
          <w:tcPr>
            <w:tcW w:w="2250" w:type="dxa"/>
          </w:tcPr>
          <w:p w14:paraId="37DF5C8B"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Group 95950-95967: Special EEG Testing Procedures</w:t>
            </w:r>
          </w:p>
        </w:tc>
        <w:tc>
          <w:tcPr>
            <w:tcW w:w="2180" w:type="dxa"/>
          </w:tcPr>
          <w:p w14:paraId="0EEE1A1D"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Presence of keyword “EEG” in chart</w:t>
            </w:r>
          </w:p>
        </w:tc>
      </w:tr>
      <w:tr w:rsidR="00202FCA" w:rsidRPr="00D8125E" w14:paraId="5BE93A2E" w14:textId="77777777" w:rsidTr="00E454C1">
        <w:trPr>
          <w:jc w:val="center"/>
        </w:trPr>
        <w:tc>
          <w:tcPr>
            <w:tcW w:w="2515" w:type="dxa"/>
          </w:tcPr>
          <w:p w14:paraId="618F7AB9"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“Psychogenic seizure”</w:t>
            </w:r>
          </w:p>
        </w:tc>
        <w:tc>
          <w:tcPr>
            <w:tcW w:w="2340" w:type="dxa"/>
          </w:tcPr>
          <w:p w14:paraId="5863FEAC"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R56.9 – unspecified convulsions</w:t>
            </w:r>
          </w:p>
        </w:tc>
        <w:tc>
          <w:tcPr>
            <w:tcW w:w="2250" w:type="dxa"/>
          </w:tcPr>
          <w:p w14:paraId="0F2DE2CE"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w:t>
            </w:r>
          </w:p>
        </w:tc>
        <w:tc>
          <w:tcPr>
            <w:tcW w:w="2180" w:type="dxa"/>
          </w:tcPr>
          <w:p w14:paraId="6E62B5E6"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w:t>
            </w:r>
          </w:p>
        </w:tc>
      </w:tr>
      <w:tr w:rsidR="00202FCA" w:rsidRPr="00D8125E" w14:paraId="6D8FC826" w14:textId="77777777" w:rsidTr="00E454C1">
        <w:trPr>
          <w:jc w:val="center"/>
        </w:trPr>
        <w:tc>
          <w:tcPr>
            <w:tcW w:w="2515" w:type="dxa"/>
          </w:tcPr>
          <w:p w14:paraId="1D69D9D8"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lastRenderedPageBreak/>
              <w:t>“Non-epileptic seizure”</w:t>
            </w:r>
          </w:p>
          <w:p w14:paraId="00D6F2DD" w14:textId="77777777" w:rsidR="00202FCA" w:rsidRPr="00D8125E" w:rsidRDefault="00202FCA" w:rsidP="00E454C1">
            <w:pPr>
              <w:spacing w:line="276" w:lineRule="auto"/>
              <w:jc w:val="center"/>
              <w:rPr>
                <w:color w:val="000000" w:themeColor="text1"/>
                <w:sz w:val="20"/>
                <w:szCs w:val="20"/>
              </w:rPr>
            </w:pPr>
            <w:r w:rsidRPr="00D8125E">
              <w:rPr>
                <w:i/>
                <w:iCs/>
                <w:color w:val="000000" w:themeColor="text1"/>
                <w:sz w:val="20"/>
                <w:szCs w:val="20"/>
              </w:rPr>
              <w:t>(</w:t>
            </w:r>
            <w:proofErr w:type="gramStart"/>
            <w:r w:rsidRPr="00D8125E">
              <w:rPr>
                <w:i/>
                <w:iCs/>
                <w:color w:val="000000" w:themeColor="text1"/>
                <w:sz w:val="20"/>
                <w:szCs w:val="20"/>
              </w:rPr>
              <w:t>or</w:t>
            </w:r>
            <w:proofErr w:type="gramEnd"/>
            <w:r w:rsidRPr="00D8125E">
              <w:rPr>
                <w:i/>
                <w:iCs/>
                <w:color w:val="000000" w:themeColor="text1"/>
                <w:sz w:val="20"/>
                <w:szCs w:val="20"/>
              </w:rPr>
              <w:t xml:space="preserve"> nonepileptic or </w:t>
            </w:r>
            <w:proofErr w:type="spellStart"/>
            <w:r w:rsidRPr="00D8125E">
              <w:rPr>
                <w:i/>
                <w:iCs/>
                <w:color w:val="000000" w:themeColor="text1"/>
                <w:sz w:val="20"/>
                <w:szCs w:val="20"/>
              </w:rPr>
              <w:t>non epileptic</w:t>
            </w:r>
            <w:proofErr w:type="spellEnd"/>
            <w:r w:rsidRPr="00D8125E">
              <w:rPr>
                <w:i/>
                <w:iCs/>
                <w:color w:val="000000" w:themeColor="text1"/>
                <w:sz w:val="20"/>
                <w:szCs w:val="20"/>
              </w:rPr>
              <w:t>)</w:t>
            </w:r>
          </w:p>
        </w:tc>
        <w:tc>
          <w:tcPr>
            <w:tcW w:w="2340" w:type="dxa"/>
          </w:tcPr>
          <w:p w14:paraId="512FAF06"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F44.5 – conversion disorder with seizures or convulsions</w:t>
            </w:r>
          </w:p>
        </w:tc>
        <w:tc>
          <w:tcPr>
            <w:tcW w:w="2250" w:type="dxa"/>
          </w:tcPr>
          <w:p w14:paraId="2D5A4F80"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w:t>
            </w:r>
          </w:p>
        </w:tc>
        <w:tc>
          <w:tcPr>
            <w:tcW w:w="2180" w:type="dxa"/>
          </w:tcPr>
          <w:p w14:paraId="7CA8AA07"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w:t>
            </w:r>
          </w:p>
        </w:tc>
      </w:tr>
      <w:tr w:rsidR="00202FCA" w:rsidRPr="00D8125E" w14:paraId="12EAC7B6" w14:textId="77777777" w:rsidTr="00E454C1">
        <w:trPr>
          <w:jc w:val="center"/>
        </w:trPr>
        <w:tc>
          <w:tcPr>
            <w:tcW w:w="2515" w:type="dxa"/>
          </w:tcPr>
          <w:p w14:paraId="3FFE5284" w14:textId="77777777" w:rsidR="00202FCA" w:rsidRPr="00D8125E" w:rsidRDefault="00202FCA" w:rsidP="00E454C1">
            <w:pPr>
              <w:spacing w:line="276" w:lineRule="auto"/>
              <w:jc w:val="center"/>
              <w:rPr>
                <w:color w:val="000000" w:themeColor="text1"/>
                <w:sz w:val="20"/>
                <w:szCs w:val="20"/>
              </w:rPr>
            </w:pPr>
            <w:proofErr w:type="gramStart"/>
            <w:r w:rsidRPr="00D8125E">
              <w:rPr>
                <w:color w:val="000000" w:themeColor="text1"/>
                <w:sz w:val="20"/>
                <w:szCs w:val="20"/>
              </w:rPr>
              <w:t>“ PNES</w:t>
            </w:r>
            <w:proofErr w:type="gramEnd"/>
            <w:r w:rsidRPr="00D8125E">
              <w:rPr>
                <w:color w:val="000000" w:themeColor="text1"/>
                <w:sz w:val="20"/>
                <w:szCs w:val="20"/>
              </w:rPr>
              <w:t xml:space="preserve"> "</w:t>
            </w:r>
          </w:p>
        </w:tc>
        <w:tc>
          <w:tcPr>
            <w:tcW w:w="2340" w:type="dxa"/>
          </w:tcPr>
          <w:p w14:paraId="1AB05D69"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w:t>
            </w:r>
          </w:p>
        </w:tc>
        <w:tc>
          <w:tcPr>
            <w:tcW w:w="2250" w:type="dxa"/>
          </w:tcPr>
          <w:p w14:paraId="7AFC353F"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w:t>
            </w:r>
          </w:p>
        </w:tc>
        <w:tc>
          <w:tcPr>
            <w:tcW w:w="2180" w:type="dxa"/>
          </w:tcPr>
          <w:p w14:paraId="3893A341" w14:textId="77777777" w:rsidR="00202FCA" w:rsidRPr="00D8125E" w:rsidRDefault="00202FCA" w:rsidP="00E454C1">
            <w:pPr>
              <w:spacing w:line="276" w:lineRule="auto"/>
              <w:jc w:val="center"/>
              <w:rPr>
                <w:color w:val="000000" w:themeColor="text1"/>
                <w:sz w:val="20"/>
                <w:szCs w:val="20"/>
              </w:rPr>
            </w:pPr>
            <w:r w:rsidRPr="00D8125E">
              <w:rPr>
                <w:color w:val="000000" w:themeColor="text1"/>
                <w:sz w:val="20"/>
                <w:szCs w:val="20"/>
              </w:rPr>
              <w:t>..</w:t>
            </w:r>
          </w:p>
        </w:tc>
      </w:tr>
    </w:tbl>
    <w:p w14:paraId="53FC5573" w14:textId="77777777" w:rsidR="00202FCA" w:rsidRPr="0002645D" w:rsidRDefault="00202FCA" w:rsidP="00202FCA">
      <w:pPr>
        <w:rPr>
          <w:b/>
          <w:bCs/>
          <w:color w:val="000000" w:themeColor="text1"/>
          <w:sz w:val="20"/>
          <w:szCs w:val="20"/>
        </w:rPr>
      </w:pPr>
    </w:p>
    <w:p w14:paraId="12670FCC" w14:textId="77777777" w:rsidR="00202FCA" w:rsidRPr="0002645D" w:rsidRDefault="00202FCA" w:rsidP="00202FCA">
      <w:pPr>
        <w:spacing w:line="480" w:lineRule="auto"/>
        <w:jc w:val="center"/>
        <w:rPr>
          <w:rFonts w:eastAsiaTheme="minorEastAsia"/>
          <w:color w:val="000000" w:themeColor="text1"/>
          <w:sz w:val="20"/>
          <w:szCs w:val="20"/>
        </w:rPr>
      </w:pPr>
      <w:r w:rsidRPr="0002645D">
        <w:rPr>
          <w:b/>
          <w:bCs/>
          <w:color w:val="000000" w:themeColor="text1"/>
          <w:sz w:val="20"/>
          <w:szCs w:val="20"/>
        </w:rPr>
        <w:t>Table 2</w:t>
      </w:r>
      <w:r w:rsidRPr="0002645D">
        <w:rPr>
          <w:color w:val="000000" w:themeColor="text1"/>
          <w:sz w:val="20"/>
          <w:szCs w:val="20"/>
        </w:rPr>
        <w:t xml:space="preserve">. </w:t>
      </w:r>
      <w:r w:rsidRPr="0002645D">
        <w:rPr>
          <w:rFonts w:eastAsiaTheme="minorEastAsia"/>
          <w:color w:val="000000" w:themeColor="text1"/>
          <w:sz w:val="20"/>
          <w:szCs w:val="20"/>
        </w:rPr>
        <w:t xml:space="preserve">Criteria for algorithm to identify </w:t>
      </w:r>
      <w:r>
        <w:rPr>
          <w:rFonts w:eastAsiaTheme="minorEastAsia"/>
          <w:color w:val="000000" w:themeColor="text1"/>
          <w:sz w:val="20"/>
          <w:szCs w:val="20"/>
        </w:rPr>
        <w:t>FS</w:t>
      </w:r>
      <w:r w:rsidRPr="0002645D">
        <w:rPr>
          <w:rFonts w:eastAsiaTheme="minorEastAsia"/>
          <w:color w:val="000000" w:themeColor="text1"/>
          <w:sz w:val="20"/>
          <w:szCs w:val="20"/>
        </w:rPr>
        <w:t xml:space="preserve"> patients regardless of epilepsy status. Inclusion ICD codes, inclusion keywords and other inclusion criteria are all listed.</w:t>
      </w:r>
    </w:p>
    <w:p w14:paraId="16D5B19F" w14:textId="77777777" w:rsidR="00202FCA" w:rsidRPr="0002645D" w:rsidRDefault="00202FCA" w:rsidP="00202FCA">
      <w:pPr>
        <w:pBdr>
          <w:top w:val="nil"/>
          <w:left w:val="nil"/>
          <w:bottom w:val="nil"/>
          <w:right w:val="nil"/>
          <w:between w:val="nil"/>
        </w:pBdr>
        <w:spacing w:line="480" w:lineRule="auto"/>
        <w:rPr>
          <w:color w:val="000000" w:themeColor="text1"/>
        </w:rPr>
      </w:pPr>
    </w:p>
    <w:p w14:paraId="1F0BD032" w14:textId="77777777" w:rsidR="00202FCA" w:rsidRPr="0002645D" w:rsidRDefault="00202FCA" w:rsidP="00202FCA">
      <w:pPr>
        <w:pBdr>
          <w:top w:val="nil"/>
          <w:left w:val="nil"/>
          <w:bottom w:val="nil"/>
          <w:right w:val="nil"/>
          <w:between w:val="nil"/>
        </w:pBdr>
        <w:spacing w:line="480" w:lineRule="auto"/>
        <w:rPr>
          <w:color w:val="000000" w:themeColor="text1"/>
        </w:rPr>
      </w:pPr>
    </w:p>
    <w:p w14:paraId="0D838E9C" w14:textId="52547D90" w:rsidR="005B7B7E" w:rsidRDefault="00202FCA" w:rsidP="00202FCA">
      <w:pPr>
        <w:pBdr>
          <w:top w:val="nil"/>
          <w:left w:val="nil"/>
          <w:bottom w:val="nil"/>
          <w:right w:val="nil"/>
          <w:between w:val="nil"/>
        </w:pBdr>
        <w:spacing w:line="480" w:lineRule="auto"/>
        <w:rPr>
          <w:color w:val="000000" w:themeColor="text1"/>
        </w:rPr>
      </w:pPr>
      <w:r w:rsidRPr="004721E9">
        <w:rPr>
          <w:color w:val="000000" w:themeColor="text1"/>
        </w:rPr>
        <w:t>Both algorithms were created by filtering criteria joined with Boolean operators. First, we required one or more convulsion or conversion disorder (ICD9 codes 300.11 OR 780.39 OR ICD10 codes R56.9 OR F44.5)</w:t>
      </w:r>
      <w:r w:rsidRPr="0002645D">
        <w:rPr>
          <w:color w:val="000000" w:themeColor="text1"/>
        </w:rPr>
        <w:fldChar w:fldCharType="begin"/>
      </w:r>
      <w:r w:rsidRPr="0002645D">
        <w:rPr>
          <w:color w:val="000000" w:themeColor="text1"/>
        </w:rPr>
        <w:instrText xml:space="preserve"> ADDIN ZOTERO_ITEM CSL_CITATION {"citationID":"wLINc9I4","properties":{"formattedCitation":"\\super 47\\nosupersub{}","plainCitation":"47","noteIndex":0},"citationItems":[{"id":429,"uris":["http://zotero.org/groups/2313352/items/3U9I4U7R"],"uri":["http://zotero.org/groups/2313352/items/3U9I4U7R"],"itemData":{"id":429,"type":"article-journal","abstract":"The World Health Organization (WHO) International Classification of Diseases (ICD) has been used to classify causes of morbidity and mortality such as epilepsy for more than 50 years. The aims of this critical commentary are to do the following: (1) Introduce the ICD classification, summarize the ICD-9 and ICD-10 codes for epilepsy and seizures, and discuss the challenges of mapping epilepsy codes between these two versions; (2) discuss how the ICD-9 and ICD-10 relate to the revised International League Against Epilepsy (ILAE) terminology and concepts for classification of seizures and epilepsies; (3) discuss how ICD-coded data have been used for epilepsy care and research and briefly examine the potential impact of the international ICD-10 clinical modifications on research; (4) discuss the upcoming ICD-11 codes and the role of the epilepsy community in their development; and (5) discuss how the ICD-11 will conform more closely to the current ILAE terminology and classification of the epilepsies and seizures and its potential impact on clinical care, surveillance, and public health and research.","container-title":"Epilepsia","DOI":"10.1111/epi.12895","ISSN":"1528-1167","issue":"3","language":"en","page":"348-355","source":"Wiley Online Library","title":"ICD coding for epilepsy: Past, present, and future—A report by the International League Against Epilepsy Task Force on ICD codes in epilepsy","title-short":"ICD coding for epilepsy","volume":"56","author":[{"family":"Jette","given":"Nathalie"},{"family":"Beghi","given":"Ettore"},{"family":"Hesdorffer","given":"Dale"},{"family":"Moshé","given":"Solomon L."},{"family":"Zuberi","given":"Sameer M."},{"family":"Medina","given":"Marco T."},{"family":"Bergen","given":"Donna"}],"issued":{"date-parts":[["2015",3,1]]}}}],"schema":"https://github.com/citation-style-language/schema/raw/master/csl-citation.json"} </w:instrText>
      </w:r>
      <w:r w:rsidRPr="0002645D">
        <w:rPr>
          <w:color w:val="000000" w:themeColor="text1"/>
        </w:rPr>
        <w:fldChar w:fldCharType="separate"/>
      </w:r>
      <w:r w:rsidRPr="0002645D">
        <w:rPr>
          <w:rFonts w:ascii="Calibri" w:cs="Times New Roman"/>
          <w:color w:val="000000" w:themeColor="text1"/>
          <w:vertAlign w:val="superscript"/>
        </w:rPr>
        <w:t>47</w:t>
      </w:r>
      <w:r w:rsidRPr="0002645D">
        <w:rPr>
          <w:color w:val="000000" w:themeColor="text1"/>
        </w:rPr>
        <w:fldChar w:fldCharType="end"/>
      </w:r>
      <w:r w:rsidRPr="004721E9">
        <w:rPr>
          <w:color w:val="000000" w:themeColor="text1"/>
        </w:rPr>
        <w:t xml:space="preserve"> AND the presence of regular expressions indicating </w:t>
      </w:r>
      <w:r w:rsidRPr="0002645D">
        <w:rPr>
          <w:color w:val="000000" w:themeColor="text1"/>
        </w:rPr>
        <w:t>FS</w:t>
      </w:r>
      <w:r w:rsidRPr="004721E9">
        <w:rPr>
          <w:color w:val="000000" w:themeColor="text1"/>
        </w:rPr>
        <w:t>-related keywords in charts (“</w:t>
      </w:r>
      <w:proofErr w:type="spellStart"/>
      <w:r w:rsidRPr="004721E9">
        <w:rPr>
          <w:color w:val="000000" w:themeColor="text1"/>
        </w:rPr>
        <w:t>pseudoseizure</w:t>
      </w:r>
      <w:proofErr w:type="spellEnd"/>
      <w:r w:rsidRPr="004721E9">
        <w:rPr>
          <w:color w:val="000000" w:themeColor="text1"/>
        </w:rPr>
        <w:t>,” “psychogenic seizure,” “nonepileptic seizure”, or “</w:t>
      </w:r>
      <w:r w:rsidRPr="0002645D">
        <w:rPr>
          <w:color w:val="000000" w:themeColor="text1"/>
        </w:rPr>
        <w:t xml:space="preserve"> </w:t>
      </w:r>
      <w:proofErr w:type="spellStart"/>
      <w:r>
        <w:rPr>
          <w:color w:val="000000" w:themeColor="text1"/>
        </w:rPr>
        <w:t>pnes</w:t>
      </w:r>
      <w:proofErr w:type="spellEnd"/>
      <w:r w:rsidRPr="0002645D">
        <w:rPr>
          <w:color w:val="000000" w:themeColor="text1"/>
        </w:rPr>
        <w:t xml:space="preserve"> </w:t>
      </w:r>
      <w:r w:rsidRPr="004721E9">
        <w:rPr>
          <w:color w:val="000000" w:themeColor="text1"/>
        </w:rPr>
        <w:t xml:space="preserve">”). Although </w:t>
      </w:r>
      <w:r w:rsidRPr="0002645D">
        <w:rPr>
          <w:color w:val="000000" w:themeColor="text1"/>
        </w:rPr>
        <w:t>FS</w:t>
      </w:r>
      <w:r w:rsidRPr="004721E9">
        <w:rPr>
          <w:color w:val="000000" w:themeColor="text1"/>
        </w:rPr>
        <w:t xml:space="preserve"> can present as syncopal events, we have not included this phrase in our algorithm because in patient charts such as the ones we mined, this would be a nonspecific symptom and would add noise to our algorithm. </w:t>
      </w:r>
      <w:r w:rsidRPr="0002645D">
        <w:rPr>
          <w:color w:val="000000" w:themeColor="text1"/>
        </w:rPr>
        <w:t>Next,</w:t>
      </w:r>
      <w:r w:rsidRPr="004721E9">
        <w:rPr>
          <w:color w:val="000000" w:themeColor="text1"/>
        </w:rPr>
        <w:t xml:space="preserve"> we required the presence of both the keyword “EEG” AND one or more EEG CPT code (Group 95812-95830: Routine Electroencephalography (EEG) Procedures and Group 95950-95967: Special EEG Testing Procedures) to ensure that patients had an EEG performed at VUMC. Eighty-two percent of potential </w:t>
      </w:r>
      <w:r w:rsidRPr="0002645D">
        <w:rPr>
          <w:color w:val="000000" w:themeColor="text1"/>
        </w:rPr>
        <w:t>FS</w:t>
      </w:r>
      <w:r w:rsidRPr="004721E9">
        <w:rPr>
          <w:color w:val="000000" w:themeColor="text1"/>
        </w:rPr>
        <w:t xml:space="preserve"> cases with an “EEG” keyword also had an EEG procedure CPT code present in their chart.</w:t>
      </w:r>
    </w:p>
    <w:p w14:paraId="5C848DF3" w14:textId="77777777" w:rsidR="00202FCA" w:rsidRPr="004721E9" w:rsidRDefault="00202FCA" w:rsidP="00202FCA">
      <w:pPr>
        <w:spacing w:line="480" w:lineRule="auto"/>
        <w:rPr>
          <w:bCs/>
          <w:color w:val="000000" w:themeColor="text1"/>
          <w:highlight w:val="white"/>
        </w:rPr>
      </w:pPr>
      <w:r w:rsidRPr="004721E9">
        <w:rPr>
          <w:bCs/>
          <w:color w:val="000000" w:themeColor="text1"/>
          <w:highlight w:val="white"/>
        </w:rPr>
        <w:t xml:space="preserve">Fifty charts were randomly selected from the </w:t>
      </w:r>
      <w:r w:rsidRPr="0002645D">
        <w:rPr>
          <w:bCs/>
          <w:color w:val="000000" w:themeColor="text1"/>
          <w:highlight w:val="white"/>
        </w:rPr>
        <w:t>FS</w:t>
      </w:r>
      <w:r w:rsidRPr="004721E9">
        <w:rPr>
          <w:bCs/>
          <w:color w:val="000000" w:themeColor="text1"/>
          <w:highlight w:val="white"/>
        </w:rPr>
        <w:t xml:space="preserve"> algorithm identified cases and were reviewed by one rater (SBG), who was trained by a clinical neurologist (KFH). </w:t>
      </w:r>
    </w:p>
    <w:p w14:paraId="64467C24" w14:textId="77777777" w:rsidR="00202FCA" w:rsidRPr="004721E9" w:rsidRDefault="00202FCA" w:rsidP="00202FCA">
      <w:pPr>
        <w:spacing w:line="480" w:lineRule="auto"/>
        <w:rPr>
          <w:bCs/>
          <w:color w:val="000000" w:themeColor="text1"/>
          <w:highlight w:val="white"/>
        </w:rPr>
      </w:pPr>
    </w:p>
    <w:p w14:paraId="7F155B3F" w14:textId="77777777" w:rsidR="00202FCA" w:rsidRPr="004721E9" w:rsidRDefault="00202FCA" w:rsidP="00202FCA">
      <w:pPr>
        <w:spacing w:line="480" w:lineRule="auto"/>
        <w:rPr>
          <w:bCs/>
          <w:color w:val="000000" w:themeColor="text1"/>
          <w:highlight w:val="white"/>
        </w:rPr>
      </w:pPr>
      <w:r w:rsidRPr="004721E9">
        <w:rPr>
          <w:bCs/>
          <w:color w:val="000000" w:themeColor="text1"/>
          <w:highlight w:val="white"/>
        </w:rPr>
        <w:lastRenderedPageBreak/>
        <w:t xml:space="preserve">The charts were reviewed for positive clinical diagnosis of </w:t>
      </w:r>
      <w:r w:rsidRPr="0002645D">
        <w:rPr>
          <w:bCs/>
          <w:color w:val="000000" w:themeColor="text1"/>
          <w:highlight w:val="white"/>
        </w:rPr>
        <w:t>FS</w:t>
      </w:r>
      <w:r w:rsidRPr="004721E9">
        <w:rPr>
          <w:bCs/>
          <w:color w:val="000000" w:themeColor="text1"/>
          <w:highlight w:val="white"/>
        </w:rPr>
        <w:t xml:space="preserve"> based on a publication by LaFrance et al describing the minimum requirements for the diagnosis of </w:t>
      </w:r>
      <w:r w:rsidRPr="0002645D">
        <w:rPr>
          <w:bCs/>
          <w:color w:val="000000" w:themeColor="text1"/>
          <w:highlight w:val="white"/>
        </w:rPr>
        <w:t>FS</w:t>
      </w:r>
      <w:r w:rsidRPr="004721E9">
        <w:rPr>
          <w:bCs/>
          <w:color w:val="000000" w:themeColor="text1"/>
          <w:highlight w:val="white"/>
        </w:rPr>
        <w:t>.</w:t>
      </w:r>
      <w:r w:rsidRPr="0002645D">
        <w:rPr>
          <w:bCs/>
          <w:color w:val="000000" w:themeColor="text1"/>
          <w:highlight w:val="white"/>
        </w:rPr>
        <w:fldChar w:fldCharType="begin"/>
      </w:r>
      <w:r w:rsidRPr="0002645D">
        <w:rPr>
          <w:bCs/>
          <w:color w:val="000000" w:themeColor="text1"/>
          <w:highlight w:val="white"/>
        </w:rPr>
        <w:instrText xml:space="preserve"> ADDIN ZOTERO_ITEM CSL_CITATION {"citationID":"PAAO83MO","properties":{"formattedCitation":"\\super 4\\nosupersub{}","plainCitation":"4","noteIndex":0},"citationItems":[{"id":362,"uris":["http://zotero.org/groups/2313352/items/NGEFP65P"],"uri":["http://zotero.org/groups/2313352/items/NGEFP65P"],"itemData":{"id":362,"type":"article-journal","abstract":"An international consensus group of clinician-researchers in epilepsy, neurology, neuropsychology, and neuropsychiatry collaborated with the aim of developing clear guidance on standards for the diagnosis of psychogenic nonepileptic seizures (PNES). Because the gold standard of video electroencephalography (vEEG) is not available worldwide, or for every patient, the group delineated a staged approach to PNES diagnosis. Using a consensus review of the literature, this group evaluated key diagnostic approaches. These included: history, EEG, ambulatory EEG, vEEG/monitoring, neurophysiologic, neurohumoral, neuroimaging, neuropsychological testing, hypnosis, and conversation analysis. Levels of diagnostic certainty were developed including possible, probable, clinically established, and documented diagnosis, based on the availability of history, witnessed event, and investigations, including vEEG. The aim and hope of this report is to provide greater clarity about the process and certainty of the diagnosis of PNES, with the intent to improve the care for people with epilepsy and nonepileptic seizures.","container-title":"Epilepsia","DOI":"10.1111/epi.12356","ISSN":"1528-1167","issue":"11","language":"en","page":"2005-2018","source":"Wiley Online Library","title":"Minimum requirements for the diagnosis of psychogenic nonepileptic seizures: A staged approach","title-short":"Minimum requirements for the diagnosis of psychogenic nonepileptic seizures","volume":"54","author":[{"family":"LaFrance","given":"W. Curt"},{"family":"Baker","given":"Gus A."},{"family":"Duncan","given":"Rod"},{"family":"Goldstein","given":"Laura H."},{"family":"Reuber","given":"Markus"}],"issued":{"date-parts":[["2013"]]}}}],"schema":"https://github.com/citation-style-language/schema/raw/master/csl-citation.json"} </w:instrText>
      </w:r>
      <w:r w:rsidRPr="0002645D">
        <w:rPr>
          <w:bCs/>
          <w:color w:val="000000" w:themeColor="text1"/>
          <w:highlight w:val="white"/>
        </w:rPr>
        <w:fldChar w:fldCharType="separate"/>
      </w:r>
      <w:r w:rsidRPr="0002645D">
        <w:rPr>
          <w:rFonts w:ascii="Calibri" w:cs="Times New Roman"/>
          <w:color w:val="000000" w:themeColor="text1"/>
          <w:vertAlign w:val="superscript"/>
        </w:rPr>
        <w:t>4</w:t>
      </w:r>
      <w:r w:rsidRPr="0002645D">
        <w:rPr>
          <w:bCs/>
          <w:color w:val="000000" w:themeColor="text1"/>
          <w:highlight w:val="white"/>
        </w:rPr>
        <w:fldChar w:fldCharType="end"/>
      </w:r>
      <w:r w:rsidRPr="004721E9">
        <w:rPr>
          <w:bCs/>
          <w:color w:val="000000" w:themeColor="text1"/>
          <w:highlight w:val="white"/>
        </w:rPr>
        <w:t xml:space="preserve"> Positive predictive value</w:t>
      </w:r>
      <w:r>
        <w:rPr>
          <w:bCs/>
          <w:color w:val="000000" w:themeColor="text1"/>
          <w:highlight w:val="white"/>
        </w:rPr>
        <w:t>s</w:t>
      </w:r>
      <w:r w:rsidRPr="004721E9">
        <w:rPr>
          <w:bCs/>
          <w:color w:val="000000" w:themeColor="text1"/>
          <w:highlight w:val="white"/>
        </w:rPr>
        <w:t xml:space="preserve"> (PPV</w:t>
      </w:r>
      <w:r>
        <w:rPr>
          <w:bCs/>
          <w:color w:val="000000" w:themeColor="text1"/>
          <w:highlight w:val="white"/>
        </w:rPr>
        <w:t>s</w:t>
      </w:r>
      <w:r w:rsidRPr="004721E9">
        <w:rPr>
          <w:bCs/>
          <w:color w:val="000000" w:themeColor="text1"/>
          <w:highlight w:val="white"/>
        </w:rPr>
        <w:t>) w</w:t>
      </w:r>
      <w:r>
        <w:rPr>
          <w:bCs/>
          <w:color w:val="000000" w:themeColor="text1"/>
          <w:highlight w:val="white"/>
        </w:rPr>
        <w:t>ere</w:t>
      </w:r>
      <w:r w:rsidRPr="004721E9">
        <w:rPr>
          <w:bCs/>
          <w:color w:val="000000" w:themeColor="text1"/>
          <w:highlight w:val="white"/>
        </w:rPr>
        <w:t xml:space="preserve"> calculated for two groups based on this paper: (a) documented, clinically established, or probable </w:t>
      </w:r>
      <w:r w:rsidRPr="0002645D">
        <w:rPr>
          <w:bCs/>
          <w:color w:val="000000" w:themeColor="text1"/>
          <w:highlight w:val="white"/>
        </w:rPr>
        <w:t>FS</w:t>
      </w:r>
      <w:r w:rsidRPr="004721E9">
        <w:rPr>
          <w:bCs/>
          <w:color w:val="000000" w:themeColor="text1"/>
          <w:highlight w:val="white"/>
        </w:rPr>
        <w:t xml:space="preserve">; and (b) possible </w:t>
      </w:r>
      <w:r w:rsidRPr="0002645D">
        <w:rPr>
          <w:bCs/>
          <w:color w:val="000000" w:themeColor="text1"/>
          <w:highlight w:val="white"/>
        </w:rPr>
        <w:t>FS</w:t>
      </w:r>
      <w:r w:rsidRPr="004721E9">
        <w:rPr>
          <w:bCs/>
          <w:color w:val="000000" w:themeColor="text1"/>
          <w:highlight w:val="white"/>
        </w:rPr>
        <w:t xml:space="preserve">. Based on this paper, the first criteria for a positive diagnosis of documented, clinically established, or probable </w:t>
      </w:r>
      <w:r w:rsidRPr="0002645D">
        <w:rPr>
          <w:bCs/>
          <w:color w:val="000000" w:themeColor="text1"/>
          <w:highlight w:val="white"/>
        </w:rPr>
        <w:t>FS</w:t>
      </w:r>
      <w:r w:rsidRPr="004721E9">
        <w:rPr>
          <w:bCs/>
          <w:color w:val="000000" w:themeColor="text1"/>
          <w:highlight w:val="white"/>
        </w:rPr>
        <w:t xml:space="preserve"> was defined as having chart history characteristics consistent with </w:t>
      </w:r>
      <w:r w:rsidRPr="0002645D">
        <w:rPr>
          <w:bCs/>
          <w:color w:val="000000" w:themeColor="text1"/>
          <w:highlight w:val="white"/>
        </w:rPr>
        <w:t>FS</w:t>
      </w:r>
      <w:r w:rsidRPr="004721E9">
        <w:rPr>
          <w:bCs/>
          <w:color w:val="000000" w:themeColor="text1"/>
          <w:highlight w:val="white"/>
        </w:rPr>
        <w:t xml:space="preserve">. The second criteria </w:t>
      </w:r>
      <w:proofErr w:type="gramStart"/>
      <w:r w:rsidRPr="004721E9">
        <w:rPr>
          <w:bCs/>
          <w:color w:val="000000" w:themeColor="text1"/>
          <w:highlight w:val="white"/>
        </w:rPr>
        <w:t>was</w:t>
      </w:r>
      <w:proofErr w:type="gramEnd"/>
      <w:r w:rsidRPr="004721E9">
        <w:rPr>
          <w:bCs/>
          <w:color w:val="000000" w:themeColor="text1"/>
          <w:highlight w:val="white"/>
        </w:rPr>
        <w:t xml:space="preserve"> having a seizure witnessed by a clinician who either 1) reviewed the video EEG recording and found the semiology typical of </w:t>
      </w:r>
      <w:r w:rsidRPr="0002645D">
        <w:rPr>
          <w:bCs/>
          <w:color w:val="000000" w:themeColor="text1"/>
          <w:highlight w:val="white"/>
        </w:rPr>
        <w:t>FS</w:t>
      </w:r>
      <w:r w:rsidRPr="004721E9">
        <w:rPr>
          <w:bCs/>
          <w:color w:val="000000" w:themeColor="text1"/>
          <w:highlight w:val="white"/>
        </w:rPr>
        <w:t xml:space="preserve">, or 2) is experienced in diagnosis of seizure disorders and found the seizure to show semiology typical of </w:t>
      </w:r>
      <w:r w:rsidRPr="0002645D">
        <w:rPr>
          <w:bCs/>
          <w:color w:val="000000" w:themeColor="text1"/>
          <w:highlight w:val="white"/>
        </w:rPr>
        <w:t>FS</w:t>
      </w:r>
      <w:r w:rsidRPr="004721E9">
        <w:rPr>
          <w:bCs/>
          <w:color w:val="000000" w:themeColor="text1"/>
          <w:highlight w:val="white"/>
        </w:rPr>
        <w:t>, regardless of whether or not it was on v</w:t>
      </w:r>
      <w:r>
        <w:rPr>
          <w:bCs/>
          <w:color w:val="000000" w:themeColor="text1"/>
          <w:highlight w:val="white"/>
        </w:rPr>
        <w:t>-</w:t>
      </w:r>
      <w:r w:rsidRPr="004721E9">
        <w:rPr>
          <w:bCs/>
          <w:color w:val="000000" w:themeColor="text1"/>
          <w:highlight w:val="white"/>
        </w:rPr>
        <w:t xml:space="preserve">EEG. The third criteria </w:t>
      </w:r>
      <w:proofErr w:type="gramStart"/>
      <w:r w:rsidRPr="004721E9">
        <w:rPr>
          <w:bCs/>
          <w:color w:val="000000" w:themeColor="text1"/>
          <w:highlight w:val="white"/>
        </w:rPr>
        <w:t>was</w:t>
      </w:r>
      <w:proofErr w:type="gramEnd"/>
      <w:r w:rsidRPr="004721E9">
        <w:rPr>
          <w:bCs/>
          <w:color w:val="000000" w:themeColor="text1"/>
          <w:highlight w:val="white"/>
        </w:rPr>
        <w:t xml:space="preserve"> that there was no epileptiform activity in routine or sleep-deprived interictal EEG, in routine or ambulatory ictal EEG during a typical event, or immediately before, during or after ictus captured on ictal video EEG. A positive diagnosis for possible </w:t>
      </w:r>
      <w:r w:rsidRPr="0002645D">
        <w:rPr>
          <w:bCs/>
          <w:color w:val="000000" w:themeColor="text1"/>
          <w:highlight w:val="white"/>
        </w:rPr>
        <w:t>FS</w:t>
      </w:r>
      <w:r w:rsidRPr="004721E9">
        <w:rPr>
          <w:bCs/>
          <w:color w:val="000000" w:themeColor="text1"/>
          <w:highlight w:val="white"/>
        </w:rPr>
        <w:t xml:space="preserve"> was defined as having a history consistent with </w:t>
      </w:r>
      <w:r w:rsidRPr="0002645D">
        <w:rPr>
          <w:bCs/>
          <w:color w:val="000000" w:themeColor="text1"/>
          <w:highlight w:val="white"/>
        </w:rPr>
        <w:t>FS</w:t>
      </w:r>
      <w:r w:rsidRPr="004721E9">
        <w:rPr>
          <w:bCs/>
          <w:color w:val="000000" w:themeColor="text1"/>
          <w:highlight w:val="white"/>
        </w:rPr>
        <w:t xml:space="preserve">, event matched </w:t>
      </w:r>
      <w:r w:rsidRPr="0002645D">
        <w:rPr>
          <w:bCs/>
          <w:color w:val="000000" w:themeColor="text1"/>
          <w:highlight w:val="white"/>
        </w:rPr>
        <w:t>FS</w:t>
      </w:r>
      <w:r w:rsidRPr="004721E9">
        <w:rPr>
          <w:bCs/>
          <w:color w:val="000000" w:themeColor="text1"/>
          <w:highlight w:val="white"/>
        </w:rPr>
        <w:t xml:space="preserve"> semiology by witness report or self-report/description, and that there was no epileptiform activity in routine or sleep-deprived interictal EEG.</w:t>
      </w:r>
      <w:r w:rsidRPr="0002645D">
        <w:rPr>
          <w:bCs/>
          <w:color w:val="000000" w:themeColor="text1"/>
          <w:highlight w:val="white"/>
        </w:rPr>
        <w:fldChar w:fldCharType="begin"/>
      </w:r>
      <w:r w:rsidRPr="0002645D">
        <w:rPr>
          <w:bCs/>
          <w:color w:val="000000" w:themeColor="text1"/>
          <w:highlight w:val="white"/>
        </w:rPr>
        <w:instrText xml:space="preserve"> ADDIN ZOTERO_ITEM CSL_CITATION {"citationID":"jb7orW0i","properties":{"formattedCitation":"\\super 4\\nosupersub{}","plainCitation":"4","noteIndex":0},"citationItems":[{"id":362,"uris":["http://zotero.org/groups/2313352/items/NGEFP65P"],"uri":["http://zotero.org/groups/2313352/items/NGEFP65P"],"itemData":{"id":362,"type":"article-journal","abstract":"An international consensus group of clinician-researchers in epilepsy, neurology, neuropsychology, and neuropsychiatry collaborated with the aim of developing clear guidance on standards for the diagnosis of psychogenic nonepileptic seizures (PNES). Because the gold standard of video electroencephalography (vEEG) is not available worldwide, or for every patient, the group delineated a staged approach to PNES diagnosis. Using a consensus review of the literature, this group evaluated key diagnostic approaches. These included: history, EEG, ambulatory EEG, vEEG/monitoring, neurophysiologic, neurohumoral, neuroimaging, neuropsychological testing, hypnosis, and conversation analysis. Levels of diagnostic certainty were developed including possible, probable, clinically established, and documented diagnosis, based on the availability of history, witnessed event, and investigations, including vEEG. The aim and hope of this report is to provide greater clarity about the process and certainty of the diagnosis of PNES, with the intent to improve the care for people with epilepsy and nonepileptic seizures.","container-title":"Epilepsia","DOI":"10.1111/epi.12356","ISSN":"1528-1167","issue":"11","language":"en","page":"2005-2018","source":"Wiley Online Library","title":"Minimum requirements for the diagnosis of psychogenic nonepileptic seizures: A staged approach","title-short":"Minimum requirements for the diagnosis of psychogenic nonepileptic seizures","volume":"54","author":[{"family":"LaFrance","given":"W. Curt"},{"family":"Baker","given":"Gus A."},{"family":"Duncan","given":"Rod"},{"family":"Goldstein","given":"Laura H."},{"family":"Reuber","given":"Markus"}],"issued":{"date-parts":[["2013"]]}}}],"schema":"https://github.com/citation-style-language/schema/raw/master/csl-citation.json"} </w:instrText>
      </w:r>
      <w:r w:rsidRPr="0002645D">
        <w:rPr>
          <w:bCs/>
          <w:color w:val="000000" w:themeColor="text1"/>
          <w:highlight w:val="white"/>
        </w:rPr>
        <w:fldChar w:fldCharType="separate"/>
      </w:r>
      <w:r w:rsidRPr="0002645D">
        <w:rPr>
          <w:rFonts w:ascii="Calibri" w:cs="Times New Roman"/>
          <w:color w:val="000000" w:themeColor="text1"/>
          <w:vertAlign w:val="superscript"/>
        </w:rPr>
        <w:t>4</w:t>
      </w:r>
      <w:r w:rsidRPr="0002645D">
        <w:rPr>
          <w:bCs/>
          <w:color w:val="000000" w:themeColor="text1"/>
          <w:highlight w:val="white"/>
        </w:rPr>
        <w:fldChar w:fldCharType="end"/>
      </w:r>
      <w:r w:rsidRPr="004721E9">
        <w:rPr>
          <w:bCs/>
          <w:color w:val="000000" w:themeColor="text1"/>
          <w:highlight w:val="white"/>
        </w:rPr>
        <w:t xml:space="preserve"> KFH was consulted as needed to adjudicate. </w:t>
      </w:r>
    </w:p>
    <w:p w14:paraId="715A8ED9" w14:textId="77777777" w:rsidR="00202FCA" w:rsidRPr="004721E9" w:rsidRDefault="00202FCA" w:rsidP="00202FCA">
      <w:pPr>
        <w:spacing w:line="480" w:lineRule="auto"/>
        <w:rPr>
          <w:bCs/>
          <w:color w:val="000000" w:themeColor="text1"/>
          <w:highlight w:val="white"/>
        </w:rPr>
      </w:pPr>
    </w:p>
    <w:p w14:paraId="0E61E46B" w14:textId="3A270A8D" w:rsidR="00202FCA" w:rsidRPr="00202FCA" w:rsidRDefault="00202FCA" w:rsidP="00202FCA">
      <w:pPr>
        <w:pBdr>
          <w:top w:val="nil"/>
          <w:left w:val="nil"/>
          <w:bottom w:val="nil"/>
          <w:right w:val="nil"/>
          <w:between w:val="nil"/>
        </w:pBdr>
        <w:spacing w:line="480" w:lineRule="auto"/>
        <w:rPr>
          <w:color w:val="000000" w:themeColor="text1"/>
        </w:rPr>
      </w:pPr>
      <w:r w:rsidRPr="004721E9">
        <w:rPr>
          <w:bCs/>
          <w:color w:val="000000" w:themeColor="text1"/>
          <w:highlight w:val="white"/>
        </w:rPr>
        <w:t>Prior to review of these 50 charts, SG reviewed 100 charts, and KH also reviewed 37 of these charts. The goal of this first round of chart review was to train the reviewer (SG) to identify key phrases and language used by VUMC neurologists to interpret video EEG and to confirm diagnoses. SG, KH, and LKD sat in conference for approximately 4 hours to discuss the levels of evidence observed and the certainty of diagnosis given video EEG results.</w:t>
      </w:r>
    </w:p>
    <w:sectPr w:rsidR="00202FCA" w:rsidRPr="00202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4747"/>
    <w:multiLevelType w:val="hybridMultilevel"/>
    <w:tmpl w:val="AEFA5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7E"/>
    <w:rsid w:val="0018520E"/>
    <w:rsid w:val="00202FCA"/>
    <w:rsid w:val="005B7B7E"/>
    <w:rsid w:val="00B27B02"/>
    <w:rsid w:val="00D54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747A7A"/>
  <w15:chartTrackingRefBased/>
  <w15:docId w15:val="{8B1AFF15-7576-8F46-B9C6-70673BDA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F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B7E"/>
    <w:pPr>
      <w:ind w:left="720"/>
      <w:contextualSpacing/>
    </w:pPr>
  </w:style>
  <w:style w:type="table" w:styleId="TableGrid">
    <w:name w:val="Table Grid"/>
    <w:basedOn w:val="TableNormal"/>
    <w:uiPriority w:val="39"/>
    <w:rsid w:val="0020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Goleva, Slavina B</dc:creator>
  <cp:keywords/>
  <dc:description/>
  <cp:lastModifiedBy>Goleva, Slavina B</cp:lastModifiedBy>
  <cp:revision>1</cp:revision>
  <dcterms:created xsi:type="dcterms:W3CDTF">2021-07-20T14:12:00Z</dcterms:created>
  <dcterms:modified xsi:type="dcterms:W3CDTF">2021-07-20T17:30:00Z</dcterms:modified>
</cp:coreProperties>
</file>