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1F" w:rsidRDefault="00F53A1F" w:rsidP="00F53A1F">
      <w:pPr>
        <w:pStyle w:val="NormalIndent1"/>
      </w:pPr>
    </w:p>
    <w:p w:rsidR="00F53A1F" w:rsidRDefault="00F53A1F" w:rsidP="00F53A1F">
      <w:pPr>
        <w:pStyle w:val="NormalIndent1"/>
      </w:pPr>
    </w:p>
    <w:p w:rsidR="00F53A1F" w:rsidRDefault="00F53A1F" w:rsidP="00F53A1F">
      <w:pPr>
        <w:pStyle w:val="NormalIndent1"/>
      </w:pPr>
    </w:p>
    <w:p w:rsidR="00F53A1F" w:rsidRPr="0047616B" w:rsidRDefault="00F53A1F" w:rsidP="00F53A1F">
      <w:pPr>
        <w:jc w:val="center"/>
      </w:pPr>
    </w:p>
    <w:p w:rsidR="00F53A1F" w:rsidRDefault="00F53A1F" w:rsidP="00AA3434">
      <w:pPr>
        <w:pStyle w:val="NormalIndent1"/>
        <w:ind w:left="0"/>
      </w:pPr>
    </w:p>
    <w:p w:rsidR="00F53A1F" w:rsidRDefault="00F53A1F" w:rsidP="00F53A1F">
      <w:pPr>
        <w:pStyle w:val="NormalIndent1"/>
      </w:pPr>
    </w:p>
    <w:p w:rsidR="00F53A1F" w:rsidRDefault="00F53A1F" w:rsidP="00F53A1F">
      <w:pPr>
        <w:pStyle w:val="NormalIndent1"/>
      </w:pPr>
    </w:p>
    <w:p w:rsidR="00F53A1F" w:rsidRDefault="00F53A1F" w:rsidP="00F53A1F">
      <w:pPr>
        <w:pStyle w:val="NormalIndent1"/>
      </w:pPr>
    </w:p>
    <w:p w:rsidR="00F53A1F" w:rsidRDefault="00F53A1F" w:rsidP="00F53A1F">
      <w:pPr>
        <w:pStyle w:val="NormalIndent1"/>
      </w:pPr>
    </w:p>
    <w:p w:rsidR="00F53A1F" w:rsidRDefault="00F53A1F" w:rsidP="00F53A1F">
      <w:pPr>
        <w:pStyle w:val="NormalIndent1"/>
      </w:pPr>
    </w:p>
    <w:p w:rsidR="00F53A1F" w:rsidRDefault="00F53A1F" w:rsidP="00F53A1F">
      <w:pPr>
        <w:pStyle w:val="NormalIndent1"/>
      </w:pPr>
    </w:p>
    <w:p w:rsidR="00F53A1F" w:rsidRDefault="00F53A1F" w:rsidP="00F53A1F">
      <w:pPr>
        <w:pStyle w:val="NormalIndent1"/>
      </w:pPr>
    </w:p>
    <w:p w:rsidR="0095074D" w:rsidRDefault="0095074D" w:rsidP="0095074D">
      <w:pPr>
        <w:pStyle w:val="Title1"/>
        <w:rPr>
          <w:rFonts w:asciiTheme="minorHAnsi" w:hAnsiTheme="minorHAnsi"/>
          <w:sz w:val="48"/>
          <w:szCs w:val="48"/>
        </w:rPr>
      </w:pPr>
      <w:r w:rsidRPr="00A57735">
        <w:rPr>
          <w:rFonts w:asciiTheme="minorHAnsi" w:hAnsiTheme="minorHAnsi"/>
          <w:sz w:val="48"/>
          <w:szCs w:val="48"/>
        </w:rPr>
        <w:t>Rheumatoid Arthritis</w:t>
      </w:r>
      <w:r>
        <w:rPr>
          <w:rFonts w:asciiTheme="minorHAnsi" w:hAnsiTheme="minorHAnsi"/>
          <w:sz w:val="48"/>
          <w:szCs w:val="48"/>
        </w:rPr>
        <w:t xml:space="preserve"> </w:t>
      </w:r>
      <w:r w:rsidRPr="00A57735">
        <w:rPr>
          <w:rFonts w:asciiTheme="minorHAnsi" w:hAnsiTheme="minorHAnsi"/>
          <w:sz w:val="48"/>
          <w:szCs w:val="48"/>
        </w:rPr>
        <w:t>Phenotype Algorithm</w:t>
      </w:r>
    </w:p>
    <w:p w:rsidR="0095074D" w:rsidRPr="00A57735" w:rsidRDefault="0095074D" w:rsidP="0095074D">
      <w:pPr>
        <w:jc w:val="center"/>
        <w:rPr>
          <w:sz w:val="48"/>
          <w:szCs w:val="48"/>
        </w:rPr>
      </w:pPr>
      <w:r w:rsidRPr="00A57735">
        <w:rPr>
          <w:sz w:val="48"/>
          <w:szCs w:val="48"/>
        </w:rPr>
        <w:t>Testing and Training Document</w:t>
      </w:r>
    </w:p>
    <w:p w:rsidR="0095074D" w:rsidRDefault="0095074D" w:rsidP="0095074D">
      <w:pPr>
        <w:jc w:val="center"/>
        <w:rPr>
          <w:sz w:val="44"/>
          <w:szCs w:val="44"/>
        </w:rPr>
      </w:pPr>
      <w:r w:rsidRPr="00F810C4">
        <w:rPr>
          <w:sz w:val="44"/>
          <w:szCs w:val="44"/>
        </w:rPr>
        <w:t>Harvard eMERGE</w:t>
      </w:r>
    </w:p>
    <w:p w:rsidR="00567698" w:rsidRDefault="00567698" w:rsidP="0095074D">
      <w:pPr>
        <w:jc w:val="center"/>
        <w:rPr>
          <w:sz w:val="44"/>
          <w:szCs w:val="44"/>
        </w:rPr>
      </w:pPr>
    </w:p>
    <w:p w:rsidR="00567698" w:rsidRPr="00F810C4" w:rsidRDefault="00567698" w:rsidP="0095074D">
      <w:pPr>
        <w:jc w:val="center"/>
        <w:rPr>
          <w:sz w:val="44"/>
          <w:szCs w:val="44"/>
        </w:rPr>
      </w:pPr>
      <w:r>
        <w:rPr>
          <w:sz w:val="44"/>
          <w:szCs w:val="44"/>
        </w:rPr>
        <w:t>Elizabeth Karlson</w:t>
      </w:r>
    </w:p>
    <w:p w:rsidR="00F810C4" w:rsidRPr="00F810C4" w:rsidRDefault="00F810C4" w:rsidP="00F810C4">
      <w:pPr>
        <w:ind w:left="0"/>
      </w:pPr>
    </w:p>
    <w:p w:rsidR="00535FBC" w:rsidRDefault="00535FBC" w:rsidP="00535FBC"/>
    <w:p w:rsidR="00F53A1F" w:rsidRDefault="00F53A1F" w:rsidP="00535FBC"/>
    <w:p w:rsidR="00F53A1F" w:rsidRDefault="00F53A1F" w:rsidP="00535FBC"/>
    <w:p w:rsidR="00F53A1F" w:rsidRDefault="00F53A1F" w:rsidP="00C0271D">
      <w:pPr>
        <w:ind w:left="0"/>
      </w:pPr>
    </w:p>
    <w:p w:rsidR="00F53A1F" w:rsidRDefault="00F53A1F" w:rsidP="00535FBC"/>
    <w:p w:rsidR="00F53A1F" w:rsidRDefault="00F53A1F" w:rsidP="00535FBC"/>
    <w:p w:rsidR="00F53A1F" w:rsidRDefault="00F53A1F" w:rsidP="00535FBC"/>
    <w:p w:rsidR="00F53A1F" w:rsidRDefault="00F53A1F" w:rsidP="00535FBC"/>
    <w:p w:rsidR="00F53A1F" w:rsidRDefault="00F53A1F" w:rsidP="00E7112E">
      <w:pPr>
        <w:ind w:left="0"/>
      </w:pPr>
    </w:p>
    <w:p w:rsidR="00F53A1F" w:rsidRDefault="00F53A1F" w:rsidP="00535FBC"/>
    <w:tbl>
      <w:tblPr>
        <w:tblW w:w="0" w:type="auto"/>
        <w:jc w:val="right"/>
        <w:tblLook w:val="01E0" w:firstRow="1" w:lastRow="1" w:firstColumn="1" w:lastColumn="1" w:noHBand="0" w:noVBand="0"/>
      </w:tblPr>
      <w:tblGrid>
        <w:gridCol w:w="7558"/>
        <w:gridCol w:w="1458"/>
      </w:tblGrid>
      <w:tr w:rsidR="00F53A1F" w:rsidRPr="0042551C" w:rsidTr="005808A9">
        <w:trPr>
          <w:jc w:val="right"/>
        </w:trPr>
        <w:tc>
          <w:tcPr>
            <w:tcW w:w="7558" w:type="dxa"/>
          </w:tcPr>
          <w:p w:rsidR="00F53A1F" w:rsidRPr="0042551C" w:rsidRDefault="00F53A1F" w:rsidP="005808A9">
            <w:pPr>
              <w:pStyle w:val="VersionDoc"/>
            </w:pPr>
            <w:r w:rsidRPr="0042551C">
              <w:t>Document Version:</w:t>
            </w:r>
          </w:p>
        </w:tc>
        <w:tc>
          <w:tcPr>
            <w:tcW w:w="1458" w:type="dxa"/>
          </w:tcPr>
          <w:p w:rsidR="00F53A1F" w:rsidRPr="0042551C" w:rsidRDefault="00F53A1F" w:rsidP="005808A9">
            <w:pPr>
              <w:pStyle w:val="VersionDoc"/>
            </w:pPr>
            <w:r w:rsidRPr="0042551C">
              <w:t>1.</w:t>
            </w:r>
            <w:r>
              <w:t>0.00-001</w:t>
            </w:r>
          </w:p>
        </w:tc>
      </w:tr>
      <w:tr w:rsidR="00F53A1F" w:rsidRPr="0042551C" w:rsidTr="005808A9">
        <w:trPr>
          <w:jc w:val="right"/>
        </w:trPr>
        <w:tc>
          <w:tcPr>
            <w:tcW w:w="7558" w:type="dxa"/>
          </w:tcPr>
          <w:p w:rsidR="00F53A1F" w:rsidRPr="00114775" w:rsidRDefault="00D017B9" w:rsidP="005808A9">
            <w:pPr>
              <w:pStyle w:val="VersionDoc"/>
            </w:pPr>
            <w:r>
              <w:t>Harvard_eMERGE_RA Algorithm Training and Testing</w:t>
            </w:r>
          </w:p>
        </w:tc>
        <w:tc>
          <w:tcPr>
            <w:tcW w:w="1458" w:type="dxa"/>
          </w:tcPr>
          <w:p w:rsidR="00F53A1F" w:rsidRPr="00114775" w:rsidRDefault="0014784A" w:rsidP="005808A9">
            <w:pPr>
              <w:pStyle w:val="VersionDoc"/>
            </w:pPr>
            <w:r>
              <w:t>11</w:t>
            </w:r>
            <w:r w:rsidR="00D017B9">
              <w:t>Oct</w:t>
            </w:r>
            <w:r w:rsidR="00114775">
              <w:t>20</w:t>
            </w:r>
            <w:r w:rsidR="001B4F68" w:rsidRPr="00114775">
              <w:t>17</w:t>
            </w:r>
          </w:p>
        </w:tc>
      </w:tr>
    </w:tbl>
    <w:p w:rsidR="00535FBC" w:rsidRDefault="00535FBC" w:rsidP="00031426">
      <w:pPr>
        <w:tabs>
          <w:tab w:val="right" w:leader="dot" w:pos="10210"/>
        </w:tabs>
        <w:spacing w:after="0"/>
        <w:ind w:left="0"/>
      </w:pPr>
    </w:p>
    <w:p w:rsidR="00535FBC" w:rsidRPr="00106B77" w:rsidRDefault="00000FF9" w:rsidP="00A55753">
      <w:pPr>
        <w:pStyle w:val="Heading1"/>
        <w:numPr>
          <w:ilvl w:val="0"/>
          <w:numId w:val="0"/>
        </w:numPr>
        <w:ind w:left="432"/>
      </w:pPr>
      <w:bookmarkStart w:id="0" w:name="_Toc489348565"/>
      <w:bookmarkStart w:id="1" w:name="_Ref159644223"/>
      <w:bookmarkStart w:id="2" w:name="_Toc178653921"/>
      <w:r>
        <w:lastRenderedPageBreak/>
        <w:t>Overview</w:t>
      </w:r>
      <w:bookmarkEnd w:id="0"/>
    </w:p>
    <w:p w:rsidR="00567698" w:rsidRDefault="00567698" w:rsidP="00031426">
      <w:pPr>
        <w:rPr>
          <w:szCs w:val="22"/>
        </w:rPr>
      </w:pPr>
      <w:bookmarkStart w:id="3" w:name="_Toc185982255"/>
      <w:r w:rsidRPr="005F0D24">
        <w:rPr>
          <w:szCs w:val="22"/>
        </w:rPr>
        <w:t xml:space="preserve">This </w:t>
      </w:r>
      <w:r>
        <w:rPr>
          <w:szCs w:val="22"/>
        </w:rPr>
        <w:t>document describes the training and testing methods, incl</w:t>
      </w:r>
      <w:r w:rsidR="00031426">
        <w:rPr>
          <w:szCs w:val="22"/>
        </w:rPr>
        <w:t xml:space="preserve">uding chart review guidelines, </w:t>
      </w:r>
      <w:r>
        <w:rPr>
          <w:szCs w:val="22"/>
        </w:rPr>
        <w:t>used to create and validate the rheumatoid arthritis phenotype. It can be used as a reference but is not required to implement the algorithm.  To implement the algorithm, please see the Rheumatoid Arthritis Implementation document.</w:t>
      </w:r>
      <w:r w:rsidR="00031426">
        <w:rPr>
          <w:szCs w:val="22"/>
        </w:rPr>
        <w:t xml:space="preserve"> </w:t>
      </w:r>
    </w:p>
    <w:p w:rsidR="004741B5" w:rsidRDefault="00F52060" w:rsidP="004741B5">
      <w:pPr>
        <w:rPr>
          <w:rFonts w:ascii="Calibri" w:hAnsi="Calibri"/>
          <w:color w:val="000000"/>
          <w:szCs w:val="22"/>
        </w:rPr>
      </w:pPr>
      <w:r w:rsidRPr="005F0D24">
        <w:rPr>
          <w:szCs w:val="22"/>
        </w:rPr>
        <w:t xml:space="preserve">This algorithm was created using a machine-learning logistic regression model.  First, </w:t>
      </w:r>
      <w:r w:rsidR="00164783">
        <w:rPr>
          <w:szCs w:val="22"/>
        </w:rPr>
        <w:t>the Biobank dataset was screen</w:t>
      </w:r>
      <w:r w:rsidR="00567698">
        <w:rPr>
          <w:szCs w:val="22"/>
        </w:rPr>
        <w:t>ed</w:t>
      </w:r>
      <w:r w:rsidR="00164783">
        <w:rPr>
          <w:szCs w:val="22"/>
        </w:rPr>
        <w:t xml:space="preserve"> for presence of ICD9/ICD-10 codes for rheumatoid arthritis</w:t>
      </w:r>
      <w:r w:rsidR="00D84567">
        <w:rPr>
          <w:szCs w:val="22"/>
        </w:rPr>
        <w:t xml:space="preserve">. </w:t>
      </w:r>
      <w:r w:rsidR="00164783">
        <w:rPr>
          <w:szCs w:val="22"/>
        </w:rPr>
        <w:t>C</w:t>
      </w:r>
      <w:r w:rsidRPr="005F0D24">
        <w:rPr>
          <w:szCs w:val="22"/>
        </w:rPr>
        <w:t xml:space="preserve">hart reviews were </w:t>
      </w:r>
      <w:r w:rsidR="00164783">
        <w:rPr>
          <w:szCs w:val="22"/>
        </w:rPr>
        <w:t>performed</w:t>
      </w:r>
      <w:r w:rsidR="00164783" w:rsidRPr="005F0D24">
        <w:rPr>
          <w:szCs w:val="22"/>
        </w:rPr>
        <w:t xml:space="preserve"> </w:t>
      </w:r>
      <w:r w:rsidR="00164783">
        <w:rPr>
          <w:szCs w:val="22"/>
        </w:rPr>
        <w:t xml:space="preserve">among the screen positive set </w:t>
      </w:r>
      <w:r w:rsidR="00945AEF">
        <w:rPr>
          <w:szCs w:val="22"/>
        </w:rPr>
        <w:t xml:space="preserve">(at least one ICD9/ICD10 code) </w:t>
      </w:r>
      <w:r w:rsidRPr="005F0D24">
        <w:rPr>
          <w:szCs w:val="22"/>
        </w:rPr>
        <w:t>by a clinical expert to establish a gold standard</w:t>
      </w:r>
      <w:r w:rsidR="008A6F2D">
        <w:rPr>
          <w:szCs w:val="22"/>
        </w:rPr>
        <w:t xml:space="preserve"> </w:t>
      </w:r>
      <w:r w:rsidR="00E5356C">
        <w:rPr>
          <w:szCs w:val="22"/>
        </w:rPr>
        <w:t>T</w:t>
      </w:r>
      <w:r w:rsidR="00551EC3">
        <w:rPr>
          <w:szCs w:val="22"/>
        </w:rPr>
        <w:t>raining</w:t>
      </w:r>
      <w:r w:rsidR="00E5356C">
        <w:rPr>
          <w:szCs w:val="22"/>
        </w:rPr>
        <w:t xml:space="preserve"> Set </w:t>
      </w:r>
      <w:r w:rsidR="008A6F2D">
        <w:rPr>
          <w:szCs w:val="22"/>
        </w:rPr>
        <w:t xml:space="preserve">of </w:t>
      </w:r>
      <w:r w:rsidR="00C31236">
        <w:rPr>
          <w:szCs w:val="22"/>
        </w:rPr>
        <w:t xml:space="preserve">60 </w:t>
      </w:r>
      <w:r w:rsidR="008A6F2D">
        <w:rPr>
          <w:szCs w:val="22"/>
        </w:rPr>
        <w:t xml:space="preserve">cases and </w:t>
      </w:r>
      <w:r w:rsidR="00C31236">
        <w:rPr>
          <w:szCs w:val="22"/>
        </w:rPr>
        <w:t xml:space="preserve">142 </w:t>
      </w:r>
      <w:r w:rsidR="008A6F2D">
        <w:rPr>
          <w:szCs w:val="22"/>
        </w:rPr>
        <w:t>non-cases</w:t>
      </w:r>
      <w:r w:rsidR="00164783">
        <w:rPr>
          <w:szCs w:val="22"/>
        </w:rPr>
        <w:t xml:space="preserve"> based on 2010 American College of Rheumatology </w:t>
      </w:r>
      <w:r w:rsidR="00C31236">
        <w:rPr>
          <w:szCs w:val="22"/>
        </w:rPr>
        <w:t>c</w:t>
      </w:r>
      <w:r w:rsidR="00164783">
        <w:rPr>
          <w:szCs w:val="22"/>
        </w:rPr>
        <w:t xml:space="preserve">riteria for </w:t>
      </w:r>
      <w:r w:rsidR="00C31236">
        <w:rPr>
          <w:szCs w:val="22"/>
        </w:rPr>
        <w:t>c</w:t>
      </w:r>
      <w:r w:rsidR="00164783">
        <w:rPr>
          <w:szCs w:val="22"/>
        </w:rPr>
        <w:t xml:space="preserve">lassification of </w:t>
      </w:r>
      <w:r w:rsidR="00C31236">
        <w:rPr>
          <w:szCs w:val="22"/>
        </w:rPr>
        <w:t>r</w:t>
      </w:r>
      <w:r w:rsidR="00164783">
        <w:rPr>
          <w:szCs w:val="22"/>
        </w:rPr>
        <w:t xml:space="preserve">heumatoid </w:t>
      </w:r>
      <w:r w:rsidR="00C31236">
        <w:rPr>
          <w:szCs w:val="22"/>
        </w:rPr>
        <w:t>a</w:t>
      </w:r>
      <w:r w:rsidR="00164783">
        <w:rPr>
          <w:szCs w:val="22"/>
        </w:rPr>
        <w:t>rthritis</w:t>
      </w:r>
      <w:r w:rsidR="00516A79" w:rsidRPr="00516A79">
        <w:rPr>
          <w:szCs w:val="22"/>
          <w:vertAlign w:val="superscript"/>
        </w:rPr>
        <w:t>1</w:t>
      </w:r>
      <w:r w:rsidR="00CA76F6" w:rsidRPr="00516A79">
        <w:rPr>
          <w:szCs w:val="22"/>
        </w:rPr>
        <w:t>)</w:t>
      </w:r>
      <w:r w:rsidR="00D017B9">
        <w:rPr>
          <w:szCs w:val="22"/>
        </w:rPr>
        <w:t xml:space="preserve"> (Appendix)</w:t>
      </w:r>
      <w:r w:rsidR="00CA76F6" w:rsidRPr="00516A79">
        <w:rPr>
          <w:szCs w:val="22"/>
        </w:rPr>
        <w:t>.</w:t>
      </w:r>
      <w:r w:rsidRPr="005F0D24">
        <w:rPr>
          <w:szCs w:val="22"/>
        </w:rPr>
        <w:t xml:space="preserve"> The chart review results were used to train the regression model.  A set of </w:t>
      </w:r>
      <w:r w:rsidR="00D04AD8">
        <w:rPr>
          <w:rFonts w:ascii="Calibri" w:hAnsi="Calibri"/>
          <w:color w:val="000000"/>
          <w:szCs w:val="22"/>
        </w:rPr>
        <w:t>NLP concept unique identifiers (CUIs)</w:t>
      </w:r>
      <w:r w:rsidRPr="005F0D24">
        <w:rPr>
          <w:szCs w:val="22"/>
        </w:rPr>
        <w:t xml:space="preserve"> associated with the disease were defined</w:t>
      </w:r>
      <w:r w:rsidR="008A6F2D">
        <w:rPr>
          <w:szCs w:val="22"/>
        </w:rPr>
        <w:t xml:space="preserve"> using Automatic Feature Extraction (AFEP)</w:t>
      </w:r>
      <w:r w:rsidR="008A6F2D" w:rsidRPr="008A6F2D">
        <w:rPr>
          <w:szCs w:val="22"/>
        </w:rPr>
        <w:t xml:space="preserve"> </w:t>
      </w:r>
      <w:r w:rsidR="00CA76F6">
        <w:rPr>
          <w:szCs w:val="22"/>
        </w:rPr>
        <w:fldChar w:fldCharType="begin"/>
      </w:r>
      <w:r w:rsidR="008A6F2D">
        <w:rPr>
          <w:szCs w:val="22"/>
        </w:rPr>
        <w:instrText xml:space="preserve"> ADDIN EN.CITE &lt;EndNote&gt;&lt;Cite&gt;&lt;Author&gt;Yu&lt;/Author&gt;&lt;Year&gt;2015&lt;/Year&gt;&lt;RecNum&gt;332&lt;/RecNum&gt;&lt;record&gt;&lt;rec-number&gt;332&lt;/rec-number&gt;&lt;ref-type name="Journal Article"&gt;17&lt;/ref-type&gt;&lt;contributors&gt;&lt;authors&gt;&lt;author&gt;Yu, S.&lt;/author&gt;&lt;author&gt;Liao, K. P.&lt;/author&gt;&lt;author&gt;Shaw, S. Y.&lt;/author&gt;&lt;author&gt;Gainer, V. S.&lt;/author&gt;&lt;author&gt;Churchill, S. E.&lt;/author&gt;&lt;author&gt;Szolovits, P.&lt;/author&gt;&lt;author&gt;Murphy, S. N.&lt;/author&gt;&lt;author&gt;Kohane, I. S.&lt;/author&gt;&lt;author&gt;Cai, T.&lt;/author&gt;&lt;/authors&gt;&lt;/contributors&gt;&lt;auth-address&gt;Partners HealthCare Personalized Medicine, Boston, MA, USA Brigham and Women&amp;apos;s Hospital, Boston, MA, USA Harvard Medical School, Boston, MA, USA syu7@partners.org.&amp;#xD;Brigham and Women&amp;apos;s Hospital, Boston, MA, USA Harvard Medical School, Boston, MA, USA.&amp;#xD;Massachusetts General Hospital, Boston, MA.&amp;#xD;Research Computing, Partners HealthCare, Charlestown, MA, USA.&amp;#xD;Research Computing, Partners HealthCare, Charlestown, MA, USA.&amp;#xD;Massachusetts Institute of Technology, Cambridge, MA, USA.&amp;#xD;Massachusetts General Hospital, Boston, MA Research Computing, Partners HealthCare, Charlestown, MA, USA.&amp;#xD;Harvard Medical School, Boston, MA, USA Boston Children&amp;apos;s Hospital, Boston, MA, USA.&amp;#xD;Harvard T.H. Chan School of Public Health, Boston, MA, USA.&lt;/auth-address&gt;&lt;titles&gt;&lt;title&gt;Toward high-throughput phenotyping: unbiased automated feature extraction and selection from knowledge sources&lt;/title&gt;&lt;secondary-title&gt;J Am Med Inform Assoc&lt;/secondary-title&gt;&lt;/titles&gt;&lt;periodical&gt;&lt;full-title&gt;J Am Med Inform Assoc&lt;/full-title&gt;&lt;/periodical&gt;&lt;pages&gt;993-1000&lt;/pages&gt;&lt;volume&gt;22&lt;/volume&gt;&lt;number&gt;5&lt;/number&gt;&lt;keywords&gt;&lt;keyword&gt;*Algorithms&lt;/keyword&gt;&lt;keyword&gt;Arthritis, Rheumatoid/diagnosis&lt;/keyword&gt;&lt;keyword&gt;*Electronic Health Records&lt;/keyword&gt;&lt;keyword&gt;Humans&lt;/keyword&gt;&lt;keyword&gt;Information Storage and Retrieval/*methods&lt;/keyword&gt;&lt;keyword&gt;*Natural Language Processing&lt;/keyword&gt;&lt;keyword&gt;Unified Medical Language System&lt;/keyword&gt;&lt;/keywords&gt;&lt;dates&gt;&lt;year&gt;2015&lt;/year&gt;&lt;pub-dates&gt;&lt;date&gt;Sep&lt;/date&gt;&lt;/pub-dates&gt;&lt;/dates&gt;&lt;isbn&gt;1527-974X (Electronic)&amp;#xD;1067-5027 (Linking)&lt;/isbn&gt;&lt;accession-num&gt;25929596&lt;/accession-num&gt;&lt;urls&gt;&lt;related-urls&gt;&lt;url&gt;http://www.ncbi.nlm.nih.gov/entrez/query.fcgi?cmd=Retrieve&amp;amp;db=PubMed&amp;amp;dopt=Citation&amp;amp;list_uids=25929596 &lt;/url&gt;&lt;/related-urls&gt;&lt;/urls&gt;&lt;language&gt;eng&lt;/language&gt;&lt;/record&gt;&lt;/Cite&gt;&lt;/EndNote&gt;</w:instrText>
      </w:r>
      <w:r w:rsidR="00CA76F6">
        <w:rPr>
          <w:szCs w:val="22"/>
        </w:rPr>
        <w:fldChar w:fldCharType="separate"/>
      </w:r>
      <w:r w:rsidR="008A6F2D" w:rsidRPr="003B4A5D">
        <w:rPr>
          <w:szCs w:val="22"/>
          <w:vertAlign w:val="superscript"/>
        </w:rPr>
        <w:t>1</w:t>
      </w:r>
      <w:r w:rsidR="00CA76F6">
        <w:rPr>
          <w:szCs w:val="22"/>
        </w:rPr>
        <w:fldChar w:fldCharType="end"/>
      </w:r>
      <w:r w:rsidRPr="005F0D24">
        <w:rPr>
          <w:szCs w:val="22"/>
        </w:rPr>
        <w:t xml:space="preserve">. </w:t>
      </w:r>
      <w:r w:rsidR="008A6F2D">
        <w:rPr>
          <w:szCs w:val="22"/>
        </w:rPr>
        <w:t xml:space="preserve"> </w:t>
      </w:r>
      <w:r w:rsidR="00E5356C" w:rsidRPr="00336749">
        <w:rPr>
          <w:rFonts w:ascii="Calibri" w:hAnsi="Calibri"/>
          <w:color w:val="000000"/>
          <w:szCs w:val="22"/>
        </w:rPr>
        <w:t xml:space="preserve">Potential predictors </w:t>
      </w:r>
      <w:r w:rsidR="00E5356C">
        <w:rPr>
          <w:rFonts w:ascii="Calibri" w:hAnsi="Calibri"/>
          <w:color w:val="000000"/>
          <w:szCs w:val="22"/>
        </w:rPr>
        <w:t>were</w:t>
      </w:r>
      <w:r w:rsidR="00E5356C" w:rsidRPr="00336749">
        <w:rPr>
          <w:rFonts w:ascii="Calibri" w:hAnsi="Calibri"/>
          <w:color w:val="000000"/>
          <w:szCs w:val="22"/>
        </w:rPr>
        <w:t xml:space="preserve"> “crowd-sourced” from freely available online medical knowledge sources such as Medline, </w:t>
      </w:r>
      <w:r w:rsidR="00E5356C">
        <w:rPr>
          <w:rFonts w:ascii="Calibri" w:hAnsi="Calibri"/>
          <w:color w:val="000000"/>
          <w:szCs w:val="22"/>
        </w:rPr>
        <w:t xml:space="preserve">Medscape and the Merck Manual </w:t>
      </w:r>
      <w:r w:rsidR="00E5356C" w:rsidRPr="00336749">
        <w:rPr>
          <w:rFonts w:ascii="Calibri" w:hAnsi="Calibri"/>
          <w:color w:val="000000"/>
          <w:szCs w:val="22"/>
        </w:rPr>
        <w:t>by parsing art</w:t>
      </w:r>
      <w:r w:rsidR="00E5356C">
        <w:rPr>
          <w:rFonts w:ascii="Calibri" w:hAnsi="Calibri"/>
          <w:color w:val="000000"/>
          <w:szCs w:val="22"/>
        </w:rPr>
        <w:t xml:space="preserve">icles for the phenotype using </w:t>
      </w:r>
      <w:r w:rsidR="00E5356C" w:rsidRPr="00336749">
        <w:rPr>
          <w:rFonts w:ascii="Calibri" w:hAnsi="Calibri"/>
          <w:color w:val="000000"/>
          <w:szCs w:val="22"/>
        </w:rPr>
        <w:t>named entity recognition (NER).  Using NER allows</w:t>
      </w:r>
      <w:r w:rsidR="00E5356C">
        <w:rPr>
          <w:rFonts w:ascii="Calibri" w:hAnsi="Calibri"/>
          <w:color w:val="000000"/>
          <w:szCs w:val="22"/>
        </w:rPr>
        <w:t xml:space="preserve"> identification of </w:t>
      </w:r>
      <w:r w:rsidR="00D04AD8">
        <w:rPr>
          <w:rFonts w:ascii="Calibri" w:hAnsi="Calibri"/>
          <w:color w:val="000000"/>
          <w:szCs w:val="22"/>
        </w:rPr>
        <w:t>CUIs</w:t>
      </w:r>
      <w:r w:rsidR="00E5356C">
        <w:rPr>
          <w:rFonts w:ascii="Calibri" w:hAnsi="Calibri"/>
          <w:color w:val="000000"/>
          <w:szCs w:val="22"/>
        </w:rPr>
        <w:t xml:space="preserve"> </w:t>
      </w:r>
      <w:r w:rsidR="00E5356C" w:rsidRPr="00336749">
        <w:rPr>
          <w:rFonts w:ascii="Calibri" w:hAnsi="Calibri"/>
          <w:color w:val="000000"/>
          <w:szCs w:val="22"/>
        </w:rPr>
        <w:t>related to medical terms specific to the phenotype</w:t>
      </w:r>
      <w:r w:rsidR="004741B5">
        <w:rPr>
          <w:rFonts w:ascii="Calibri" w:hAnsi="Calibri"/>
          <w:color w:val="000000"/>
          <w:szCs w:val="22"/>
        </w:rPr>
        <w:t xml:space="preserve"> (NLP variables)</w:t>
      </w:r>
      <w:r w:rsidR="00E5356C" w:rsidRPr="00336749">
        <w:rPr>
          <w:rFonts w:ascii="Calibri" w:hAnsi="Calibri"/>
          <w:color w:val="000000"/>
          <w:szCs w:val="22"/>
        </w:rPr>
        <w:t xml:space="preserve">.  </w:t>
      </w:r>
      <w:r w:rsidR="00E5356C">
        <w:rPr>
          <w:rFonts w:ascii="Calibri" w:hAnsi="Calibri"/>
          <w:color w:val="000000"/>
          <w:szCs w:val="22"/>
        </w:rPr>
        <w:t>A domain expert selected codes from structured EHR data</w:t>
      </w:r>
      <w:r w:rsidR="004741B5">
        <w:rPr>
          <w:rFonts w:ascii="Calibri" w:hAnsi="Calibri"/>
          <w:color w:val="000000"/>
          <w:szCs w:val="22"/>
        </w:rPr>
        <w:t xml:space="preserve"> (COD variables)</w:t>
      </w:r>
      <w:r w:rsidR="00E5356C">
        <w:rPr>
          <w:rFonts w:ascii="Calibri" w:hAnsi="Calibri"/>
          <w:color w:val="000000"/>
          <w:szCs w:val="22"/>
        </w:rPr>
        <w:t xml:space="preserve"> that map</w:t>
      </w:r>
      <w:r w:rsidR="00D04AD8">
        <w:rPr>
          <w:rFonts w:ascii="Calibri" w:hAnsi="Calibri"/>
          <w:color w:val="000000"/>
          <w:szCs w:val="22"/>
        </w:rPr>
        <w:t>ped</w:t>
      </w:r>
      <w:r w:rsidR="00E5356C">
        <w:rPr>
          <w:rFonts w:ascii="Calibri" w:hAnsi="Calibri"/>
          <w:color w:val="000000"/>
          <w:szCs w:val="22"/>
        </w:rPr>
        <w:t xml:space="preserve"> to the NLP concepts (e</w:t>
      </w:r>
      <w:r w:rsidR="00516A79">
        <w:rPr>
          <w:rFonts w:ascii="Calibri" w:hAnsi="Calibri"/>
          <w:color w:val="000000"/>
          <w:szCs w:val="22"/>
        </w:rPr>
        <w:t>.</w:t>
      </w:r>
      <w:r w:rsidR="00E5356C">
        <w:rPr>
          <w:rFonts w:ascii="Calibri" w:hAnsi="Calibri"/>
          <w:color w:val="000000"/>
          <w:szCs w:val="22"/>
        </w:rPr>
        <w:t xml:space="preserve">g. medications). </w:t>
      </w:r>
      <w:r w:rsidR="00E5356C" w:rsidRPr="00336749">
        <w:rPr>
          <w:rFonts w:ascii="Calibri" w:hAnsi="Calibri"/>
          <w:color w:val="000000"/>
          <w:szCs w:val="22"/>
        </w:rPr>
        <w:t xml:space="preserve">After applying frequency filters, EHR features, including </w:t>
      </w:r>
      <w:r w:rsidR="004741B5">
        <w:rPr>
          <w:rFonts w:ascii="Calibri" w:hAnsi="Calibri"/>
          <w:color w:val="000000"/>
          <w:szCs w:val="22"/>
        </w:rPr>
        <w:t xml:space="preserve">NLP and COD variables </w:t>
      </w:r>
      <w:r w:rsidR="00E5356C">
        <w:rPr>
          <w:rFonts w:ascii="Calibri" w:hAnsi="Calibri"/>
          <w:color w:val="000000"/>
          <w:szCs w:val="22"/>
        </w:rPr>
        <w:t>were</w:t>
      </w:r>
      <w:r w:rsidR="00E5356C" w:rsidRPr="00336749">
        <w:rPr>
          <w:rFonts w:ascii="Calibri" w:hAnsi="Calibri"/>
          <w:color w:val="000000"/>
          <w:szCs w:val="22"/>
        </w:rPr>
        <w:t xml:space="preserve"> included in models.</w:t>
      </w:r>
      <w:r w:rsidR="00E5356C">
        <w:rPr>
          <w:rFonts w:ascii="Calibri" w:hAnsi="Calibri"/>
          <w:color w:val="000000"/>
          <w:szCs w:val="22"/>
        </w:rPr>
        <w:t xml:space="preserve"> </w:t>
      </w:r>
      <w:r w:rsidR="004741B5">
        <w:rPr>
          <w:rFonts w:ascii="Arial" w:hAnsi="Arial" w:cs="Arial"/>
          <w:sz w:val="20"/>
        </w:rPr>
        <w:t xml:space="preserve">We tested models with NLP variables only, COD variables only, and NLP plus COD variables. </w:t>
      </w:r>
    </w:p>
    <w:p w:rsidR="004741B5" w:rsidRDefault="008A6F2D" w:rsidP="004741B5">
      <w:pPr>
        <w:rPr>
          <w:rFonts w:ascii="Arial" w:hAnsi="Arial" w:cs="Arial"/>
          <w:sz w:val="20"/>
        </w:rPr>
      </w:pPr>
      <w:r>
        <w:rPr>
          <w:szCs w:val="22"/>
        </w:rPr>
        <w:t xml:space="preserve">A penalized logistic regression model (LASSO) was trained to classify the RA in the gold-standard </w:t>
      </w:r>
      <w:r w:rsidR="00551EC3">
        <w:rPr>
          <w:szCs w:val="22"/>
        </w:rPr>
        <w:t xml:space="preserve">Training Set </w:t>
      </w:r>
      <w:r>
        <w:rPr>
          <w:rFonts w:ascii="Arial" w:hAnsi="Arial" w:cs="Arial"/>
          <w:sz w:val="20"/>
        </w:rPr>
        <w:t>(</w:t>
      </w:r>
      <w:r w:rsidR="00CA76F6">
        <w:rPr>
          <w:rFonts w:ascii="Arial" w:hAnsi="Arial" w:cs="Arial"/>
          <w:sz w:val="20"/>
        </w:rPr>
        <w:fldChar w:fldCharType="begin"/>
      </w:r>
      <w:r>
        <w:rPr>
          <w:rFonts w:ascii="Arial" w:hAnsi="Arial" w:cs="Arial"/>
          <w:sz w:val="20"/>
        </w:rPr>
        <w:instrText xml:space="preserve"> ADDIN EN.CITE &lt;EndNote&gt;&lt;Cite&gt;&lt;Author&gt;Zou&lt;/Author&gt;&lt;Year&gt;2006&lt;/Year&gt;&lt;RecNum&gt;22&lt;/RecNum&gt;&lt;record&gt;&lt;rec-number&gt;22&lt;/rec-number&gt;&lt;ref-type name="Journal Article"&gt;17&lt;/ref-type&gt;&lt;contributors&gt;&lt;authors&gt;&lt;author&gt;Zou, Hui&lt;/author&gt;&lt;/authors&gt;&lt;/contributors&gt;&lt;titles&gt;&lt;title&gt;The Adaptive Lasso and Its Oracle Properties&lt;/title&gt;&lt;secondary-title&gt;Journal of the American Statistical Association&lt;/secondary-title&gt;&lt;/titles&gt;&lt;pages&gt;1418-1429&lt;/pages&gt;&lt;volume&gt;101&lt;/volume&gt;&lt;number&gt;476&lt;/number&gt;&lt;dates&gt;&lt;year&gt;2006&lt;/year&gt;&lt;pub-dates&gt;&lt;date&gt;2014/10/15&lt;/date&gt;&lt;/pub-dates&gt;&lt;/dates&gt;&lt;publisher&gt;Taylor &amp;amp; Francis&lt;/publisher&gt;&lt;urls&gt;&lt;related-urls&gt;&lt;url&gt;http://dx.doi.org/10.1198/016214506000000735 &lt;/url&gt;&lt;/related-urls&gt;&lt;/urls&gt;&lt;/record&gt;&lt;/Cite&gt;&lt;Cite&gt;&lt;Author&gt;Zhang&lt;/Author&gt;&lt;Year&gt;2007&lt;/Year&gt;&lt;RecNum&gt;26&lt;/RecNum&gt;&lt;record&gt;&lt;rec-number&gt;26&lt;/rec-number&gt;&lt;ref-type name="Journal Article"&gt;17&lt;/ref-type&gt;&lt;contributors&gt;&lt;authors&gt;&lt;author&gt;Zhang, Hao Helen &lt;/author&gt;&lt;author&gt;Lu, Wenbin &lt;/author&gt;&lt;/authors&gt;&lt;/contributors&gt;&lt;titles&gt;&lt;title&gt;Adaptive Lasso for Cox&amp;apos;s proportional hazards model&lt;/title&gt;&lt;secondary-title&gt;Biometrika&lt;/secondary-title&gt;&lt;/titles&gt;&lt;pages&gt;691-703&lt;/pages&gt;&lt;volume&gt;94&lt;/volume&gt;&lt;number&gt;3&lt;/number&gt;&lt;dates&gt;&lt;year&gt;2007&lt;/year&gt;&lt;/dates&gt;&lt;urls&gt;&lt;/urls&gt;&lt;/record&gt;&lt;/Cite&gt;&lt;/EndNote&gt;</w:instrText>
      </w:r>
      <w:r w:rsidR="00CA76F6">
        <w:rPr>
          <w:rFonts w:ascii="Arial" w:hAnsi="Arial" w:cs="Arial"/>
          <w:sz w:val="20"/>
        </w:rPr>
        <w:fldChar w:fldCharType="separate"/>
      </w:r>
      <w:r w:rsidRPr="003B4A5D">
        <w:rPr>
          <w:rFonts w:ascii="Arial" w:hAnsi="Arial" w:cs="Arial"/>
          <w:sz w:val="20"/>
          <w:vertAlign w:val="superscript"/>
        </w:rPr>
        <w:t>2, 3</w:t>
      </w:r>
      <w:r w:rsidR="00CA76F6">
        <w:rPr>
          <w:rFonts w:ascii="Arial" w:hAnsi="Arial" w:cs="Arial"/>
          <w:sz w:val="20"/>
        </w:rPr>
        <w:fldChar w:fldCharType="end"/>
      </w:r>
      <w:r>
        <w:rPr>
          <w:rFonts w:ascii="Arial" w:hAnsi="Arial" w:cs="Arial"/>
          <w:sz w:val="20"/>
        </w:rPr>
        <w:t xml:space="preserve">). </w:t>
      </w:r>
      <w:r w:rsidR="00F52060" w:rsidRPr="005F0D24">
        <w:rPr>
          <w:szCs w:val="22"/>
        </w:rPr>
        <w:t xml:space="preserve">The regression model identified the relative weights (beta coefficients) of the features </w:t>
      </w:r>
      <w:r w:rsidR="00C31236">
        <w:rPr>
          <w:szCs w:val="22"/>
        </w:rPr>
        <w:t>significantly associated with RA</w:t>
      </w:r>
      <w:r w:rsidR="004741B5">
        <w:rPr>
          <w:szCs w:val="22"/>
        </w:rPr>
        <w:t>.</w:t>
      </w:r>
      <w:r w:rsidR="004741B5" w:rsidRPr="004741B5">
        <w:rPr>
          <w:rFonts w:ascii="Arial" w:hAnsi="Arial" w:cs="Arial"/>
          <w:sz w:val="20"/>
        </w:rPr>
        <w:t xml:space="preserve"> </w:t>
      </w:r>
      <w:r w:rsidR="004741B5">
        <w:rPr>
          <w:rFonts w:ascii="Arial" w:hAnsi="Arial" w:cs="Arial"/>
          <w:sz w:val="20"/>
        </w:rPr>
        <w:t>Performance characteristics of th</w:t>
      </w:r>
      <w:r w:rsidR="00031426">
        <w:rPr>
          <w:rFonts w:ascii="Arial" w:hAnsi="Arial" w:cs="Arial"/>
          <w:sz w:val="20"/>
        </w:rPr>
        <w:t xml:space="preserve">e COD variables only model were </w:t>
      </w:r>
      <w:r w:rsidR="004741B5">
        <w:rPr>
          <w:rFonts w:ascii="Arial" w:hAnsi="Arial" w:cs="Arial"/>
          <w:sz w:val="20"/>
        </w:rPr>
        <w:t>determined to be satisfactory for testing the model in independent test sets. The overall AUC was 0.95.</w:t>
      </w:r>
    </w:p>
    <w:p w:rsidR="004741B5" w:rsidRPr="00C45AC6" w:rsidRDefault="004741B5" w:rsidP="004741B5">
      <w:pPr>
        <w:rPr>
          <w:color w:val="0070C0"/>
          <w:szCs w:val="22"/>
        </w:rPr>
      </w:pPr>
      <w:r w:rsidRPr="00C45AC6">
        <w:rPr>
          <w:color w:val="0070C0"/>
          <w:szCs w:val="22"/>
        </w:rPr>
        <w:t xml:space="preserve">At 95% specificity, the algorithm had a sensitivity of 90.9%, PPV of 92.3%, and NPV of 94%. </w:t>
      </w:r>
    </w:p>
    <w:p w:rsidR="00A55753" w:rsidRDefault="004741B5" w:rsidP="00A55753">
      <w:pPr>
        <w:rPr>
          <w:color w:val="0070C0"/>
          <w:szCs w:val="22"/>
        </w:rPr>
      </w:pPr>
      <w:r w:rsidRPr="00C45AC6">
        <w:rPr>
          <w:color w:val="0070C0"/>
          <w:szCs w:val="22"/>
        </w:rPr>
        <w:t>At 97% specificity, the algorithm at a sensitivity of 86.6%, PPV of 94.6%, and NPV of 92.3%.</w:t>
      </w:r>
      <w:bookmarkStart w:id="4" w:name="_Toc456685283"/>
      <w:bookmarkStart w:id="5" w:name="_Toc489348566"/>
    </w:p>
    <w:p w:rsidR="00A55753" w:rsidRDefault="00A55753" w:rsidP="00A55753">
      <w:pPr>
        <w:rPr>
          <w:color w:val="0070C0"/>
          <w:szCs w:val="22"/>
        </w:rPr>
      </w:pPr>
    </w:p>
    <w:p w:rsidR="009D4B01" w:rsidRDefault="009D4B01" w:rsidP="00A55753">
      <w:pPr>
        <w:rPr>
          <w:rFonts w:ascii="Arial" w:hAnsi="Arial" w:cs="Arial"/>
          <w:b/>
          <w:color w:val="0070C0"/>
          <w:sz w:val="28"/>
          <w:szCs w:val="28"/>
        </w:rPr>
      </w:pPr>
    </w:p>
    <w:p w:rsidR="009D4B01" w:rsidRDefault="009D4B01">
      <w:pPr>
        <w:tabs>
          <w:tab w:val="clear" w:pos="4680"/>
        </w:tabs>
        <w:spacing w:after="160" w:line="259" w:lineRule="auto"/>
        <w:ind w:left="0"/>
        <w:rPr>
          <w:rFonts w:ascii="Arial" w:hAnsi="Arial" w:cs="Arial"/>
          <w:b/>
          <w:color w:val="0070C0"/>
          <w:sz w:val="28"/>
          <w:szCs w:val="28"/>
        </w:rPr>
      </w:pPr>
      <w:r>
        <w:rPr>
          <w:rFonts w:ascii="Arial" w:hAnsi="Arial" w:cs="Arial"/>
          <w:b/>
          <w:color w:val="0070C0"/>
          <w:sz w:val="28"/>
          <w:szCs w:val="28"/>
        </w:rPr>
        <w:br w:type="page"/>
      </w:r>
    </w:p>
    <w:p w:rsidR="00510007" w:rsidRPr="00A55753" w:rsidRDefault="00510007" w:rsidP="00A55753">
      <w:pPr>
        <w:rPr>
          <w:rFonts w:ascii="Arial" w:hAnsi="Arial" w:cs="Arial"/>
          <w:b/>
          <w:color w:val="0070C0"/>
          <w:sz w:val="28"/>
          <w:szCs w:val="28"/>
        </w:rPr>
      </w:pPr>
      <w:r w:rsidRPr="00A55753">
        <w:rPr>
          <w:rFonts w:ascii="Arial" w:hAnsi="Arial" w:cs="Arial"/>
          <w:b/>
          <w:color w:val="0070C0"/>
          <w:sz w:val="28"/>
          <w:szCs w:val="28"/>
        </w:rPr>
        <w:lastRenderedPageBreak/>
        <w:t>Performance Characteristics</w:t>
      </w:r>
      <w:bookmarkEnd w:id="4"/>
      <w:bookmarkEnd w:id="5"/>
    </w:p>
    <w:p w:rsidR="00F52060" w:rsidRPr="00A36A4D" w:rsidRDefault="00F52060" w:rsidP="00941EC4">
      <w:pPr>
        <w:pStyle w:val="Heading4"/>
        <w:numPr>
          <w:ilvl w:val="0"/>
          <w:numId w:val="0"/>
        </w:numPr>
        <w:ind w:left="270"/>
      </w:pPr>
      <w:r w:rsidRPr="00A36A4D">
        <w:t xml:space="preserve">RA </w:t>
      </w:r>
      <w:r w:rsidR="00945AEF">
        <w:t xml:space="preserve">Algorithm </w:t>
      </w:r>
      <w:r>
        <w:t>Performance Characteristics</w:t>
      </w:r>
      <w:r w:rsidR="00A55753">
        <w:t xml:space="preserve"> among the Training Set</w:t>
      </w:r>
    </w:p>
    <w:tbl>
      <w:tblPr>
        <w:tblStyle w:val="GridTable4-Accent31"/>
        <w:tblW w:w="8100" w:type="dxa"/>
        <w:tblInd w:w="265" w:type="dxa"/>
        <w:tblLook w:val="04A0" w:firstRow="1" w:lastRow="0" w:firstColumn="1" w:lastColumn="0" w:noHBand="0" w:noVBand="1"/>
      </w:tblPr>
      <w:tblGrid>
        <w:gridCol w:w="2723"/>
        <w:gridCol w:w="3510"/>
        <w:gridCol w:w="1867"/>
      </w:tblGrid>
      <w:tr w:rsidR="006C50EB" w:rsidRPr="00C00879" w:rsidTr="00DD7565">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723" w:type="dxa"/>
          </w:tcPr>
          <w:p w:rsidR="006C50EB" w:rsidRPr="00C67D15" w:rsidRDefault="006C50EB" w:rsidP="002B3D3D">
            <w:pPr>
              <w:pStyle w:val="NormalWeb"/>
              <w:rPr>
                <w:rFonts w:asciiTheme="minorHAnsi" w:hAnsiTheme="minorHAnsi"/>
                <w:sz w:val="22"/>
                <w:szCs w:val="22"/>
              </w:rPr>
            </w:pPr>
            <w:r w:rsidRPr="00C67D15">
              <w:rPr>
                <w:rFonts w:asciiTheme="minorHAnsi" w:hAnsiTheme="minorHAnsi"/>
                <w:b w:val="0"/>
                <w:bCs w:val="0"/>
                <w:sz w:val="22"/>
                <w:szCs w:val="22"/>
              </w:rPr>
              <w:t xml:space="preserve">Metric </w:t>
            </w:r>
          </w:p>
        </w:tc>
        <w:tc>
          <w:tcPr>
            <w:tcW w:w="3510" w:type="dxa"/>
          </w:tcPr>
          <w:p w:rsidR="006C50EB" w:rsidRPr="00C67D15" w:rsidRDefault="006C50EB" w:rsidP="002B3D3D">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
        </w:tc>
        <w:tc>
          <w:tcPr>
            <w:tcW w:w="1867" w:type="dxa"/>
          </w:tcPr>
          <w:p w:rsidR="006C50EB" w:rsidRPr="00C67D15" w:rsidRDefault="006C50EB" w:rsidP="00114775">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7D15">
              <w:rPr>
                <w:rFonts w:asciiTheme="minorHAnsi" w:hAnsiTheme="minorHAnsi"/>
                <w:b w:val="0"/>
                <w:bCs w:val="0"/>
                <w:sz w:val="22"/>
                <w:szCs w:val="22"/>
              </w:rPr>
              <w:t>RA, positive</w:t>
            </w:r>
          </w:p>
        </w:tc>
      </w:tr>
      <w:tr w:rsidR="006C50EB" w:rsidRPr="00C00879" w:rsidTr="00DD756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23" w:type="dxa"/>
          </w:tcPr>
          <w:p w:rsidR="006C50EB" w:rsidRPr="00C67D15" w:rsidRDefault="006C50EB" w:rsidP="002B3D3D">
            <w:pPr>
              <w:pStyle w:val="NormalWeb"/>
              <w:rPr>
                <w:rFonts w:asciiTheme="minorHAnsi" w:hAnsiTheme="minorHAnsi"/>
                <w:sz w:val="22"/>
                <w:szCs w:val="22"/>
              </w:rPr>
            </w:pPr>
            <w:r w:rsidRPr="00C67D15">
              <w:rPr>
                <w:rFonts w:asciiTheme="minorHAnsi" w:hAnsiTheme="minorHAnsi"/>
                <w:sz w:val="22"/>
                <w:szCs w:val="22"/>
              </w:rPr>
              <w:t xml:space="preserve">PPV (precision) </w:t>
            </w:r>
          </w:p>
        </w:tc>
        <w:tc>
          <w:tcPr>
            <w:tcW w:w="3510" w:type="dxa"/>
          </w:tcPr>
          <w:p w:rsidR="006C50EB" w:rsidRPr="00C67D15" w:rsidRDefault="00487319" w:rsidP="006C50E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Positive</w:t>
            </w:r>
            <w:r w:rsidRPr="00C67D15">
              <w:rPr>
                <w:rFonts w:asciiTheme="minorHAnsi" w:hAnsiTheme="minorHAnsi"/>
                <w:sz w:val="22"/>
                <w:szCs w:val="22"/>
              </w:rPr>
              <w:t xml:space="preserve"> </w:t>
            </w:r>
            <w:r w:rsidR="006C50EB">
              <w:rPr>
                <w:rFonts w:asciiTheme="minorHAnsi" w:hAnsiTheme="minorHAnsi"/>
                <w:sz w:val="22"/>
                <w:szCs w:val="22"/>
              </w:rPr>
              <w:t>Predictive</w:t>
            </w:r>
            <w:r w:rsidR="006C50EB" w:rsidRPr="00C67D15">
              <w:rPr>
                <w:rFonts w:asciiTheme="minorHAnsi" w:hAnsiTheme="minorHAnsi"/>
                <w:sz w:val="22"/>
                <w:szCs w:val="22"/>
              </w:rPr>
              <w:t xml:space="preserve"> Value (PPV)</w:t>
            </w:r>
          </w:p>
        </w:tc>
        <w:tc>
          <w:tcPr>
            <w:tcW w:w="1867" w:type="dxa"/>
          </w:tcPr>
          <w:p w:rsidR="006C50EB" w:rsidRPr="00872265" w:rsidRDefault="006C50EB" w:rsidP="00114775">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72265">
              <w:rPr>
                <w:rFonts w:asciiTheme="minorHAnsi" w:hAnsiTheme="minorHAnsi"/>
                <w:sz w:val="22"/>
                <w:szCs w:val="22"/>
              </w:rPr>
              <w:t>0.</w:t>
            </w:r>
            <w:r w:rsidR="000F5CE8">
              <w:rPr>
                <w:rFonts w:asciiTheme="minorHAnsi" w:hAnsiTheme="minorHAnsi"/>
                <w:sz w:val="22"/>
                <w:szCs w:val="22"/>
              </w:rPr>
              <w:t>946</w:t>
            </w:r>
          </w:p>
        </w:tc>
      </w:tr>
      <w:tr w:rsidR="006C50EB" w:rsidRPr="00C00879" w:rsidTr="00DD7565">
        <w:trPr>
          <w:trHeight w:val="223"/>
        </w:trPr>
        <w:tc>
          <w:tcPr>
            <w:cnfStyle w:val="001000000000" w:firstRow="0" w:lastRow="0" w:firstColumn="1" w:lastColumn="0" w:oddVBand="0" w:evenVBand="0" w:oddHBand="0" w:evenHBand="0" w:firstRowFirstColumn="0" w:firstRowLastColumn="0" w:lastRowFirstColumn="0" w:lastRowLastColumn="0"/>
            <w:tcW w:w="2723" w:type="dxa"/>
          </w:tcPr>
          <w:p w:rsidR="006C50EB" w:rsidRPr="00C67D15" w:rsidRDefault="006C50EB" w:rsidP="002B3D3D">
            <w:pPr>
              <w:pStyle w:val="NormalWeb"/>
              <w:rPr>
                <w:rFonts w:asciiTheme="minorHAnsi" w:hAnsiTheme="minorHAnsi"/>
                <w:sz w:val="22"/>
                <w:szCs w:val="22"/>
              </w:rPr>
            </w:pPr>
            <w:r w:rsidRPr="00C67D15">
              <w:rPr>
                <w:rFonts w:asciiTheme="minorHAnsi" w:hAnsiTheme="minorHAnsi"/>
                <w:sz w:val="22"/>
                <w:szCs w:val="22"/>
              </w:rPr>
              <w:t xml:space="preserve">TPR (sensitivity) </w:t>
            </w:r>
          </w:p>
        </w:tc>
        <w:tc>
          <w:tcPr>
            <w:tcW w:w="3510" w:type="dxa"/>
          </w:tcPr>
          <w:p w:rsidR="006C50EB" w:rsidRPr="00C67D15" w:rsidRDefault="006C50EB" w:rsidP="002B3D3D">
            <w:pPr>
              <w:spacing w:after="0"/>
              <w:ind w:left="0"/>
              <w:cnfStyle w:val="000000000000" w:firstRow="0" w:lastRow="0" w:firstColumn="0" w:lastColumn="0" w:oddVBand="0" w:evenVBand="0" w:oddHBand="0" w:evenHBand="0" w:firstRowFirstColumn="0" w:firstRowLastColumn="0" w:lastRowFirstColumn="0" w:lastRowLastColumn="0"/>
              <w:rPr>
                <w:szCs w:val="22"/>
              </w:rPr>
            </w:pPr>
            <w:r w:rsidRPr="00C67D15">
              <w:rPr>
                <w:szCs w:val="22"/>
              </w:rPr>
              <w:t xml:space="preserve">Sensitivity or True Positive Rate (TPR) </w:t>
            </w:r>
          </w:p>
        </w:tc>
        <w:tc>
          <w:tcPr>
            <w:tcW w:w="1867" w:type="dxa"/>
          </w:tcPr>
          <w:p w:rsidR="006C50EB" w:rsidRPr="00872265" w:rsidRDefault="006C50EB" w:rsidP="00114775">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72265">
              <w:rPr>
                <w:rFonts w:asciiTheme="minorHAnsi" w:hAnsiTheme="minorHAnsi"/>
                <w:sz w:val="22"/>
                <w:szCs w:val="22"/>
              </w:rPr>
              <w:t>0.</w:t>
            </w:r>
            <w:r w:rsidR="000F5CE8">
              <w:rPr>
                <w:rFonts w:asciiTheme="minorHAnsi" w:hAnsiTheme="minorHAnsi"/>
                <w:sz w:val="22"/>
                <w:szCs w:val="22"/>
              </w:rPr>
              <w:t>866</w:t>
            </w:r>
          </w:p>
        </w:tc>
      </w:tr>
      <w:tr w:rsidR="006C50EB" w:rsidRPr="00C00879" w:rsidTr="00DD756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723" w:type="dxa"/>
          </w:tcPr>
          <w:p w:rsidR="006C50EB" w:rsidRPr="00C67D15" w:rsidRDefault="006C50EB" w:rsidP="002B3D3D">
            <w:pPr>
              <w:pStyle w:val="NormalWeb"/>
              <w:rPr>
                <w:rFonts w:asciiTheme="minorHAnsi" w:hAnsiTheme="minorHAnsi"/>
                <w:sz w:val="22"/>
                <w:szCs w:val="22"/>
              </w:rPr>
            </w:pPr>
            <w:r w:rsidRPr="00C67D15">
              <w:rPr>
                <w:rFonts w:asciiTheme="minorHAnsi" w:hAnsiTheme="minorHAnsi"/>
                <w:sz w:val="22"/>
                <w:szCs w:val="22"/>
              </w:rPr>
              <w:t>FPR</w:t>
            </w:r>
            <w:r>
              <w:rPr>
                <w:rFonts w:asciiTheme="minorHAnsi" w:hAnsiTheme="minorHAnsi"/>
                <w:sz w:val="22"/>
                <w:szCs w:val="22"/>
              </w:rPr>
              <w:t xml:space="preserve"> (1-specificity)</w:t>
            </w:r>
          </w:p>
        </w:tc>
        <w:tc>
          <w:tcPr>
            <w:tcW w:w="3510" w:type="dxa"/>
          </w:tcPr>
          <w:p w:rsidR="006C50EB" w:rsidRPr="00C67D15" w:rsidRDefault="006C50EB" w:rsidP="002B3D3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67D15">
              <w:rPr>
                <w:rFonts w:asciiTheme="minorHAnsi" w:hAnsiTheme="minorHAnsi"/>
                <w:sz w:val="22"/>
                <w:szCs w:val="22"/>
              </w:rPr>
              <w:t>False Positive Rate (FPR)</w:t>
            </w:r>
          </w:p>
        </w:tc>
        <w:tc>
          <w:tcPr>
            <w:tcW w:w="1867" w:type="dxa"/>
          </w:tcPr>
          <w:p w:rsidR="006C50EB" w:rsidRPr="00872265" w:rsidRDefault="006C50EB" w:rsidP="00114775">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72265">
              <w:rPr>
                <w:rFonts w:asciiTheme="minorHAnsi" w:hAnsiTheme="minorHAnsi"/>
                <w:sz w:val="22"/>
                <w:szCs w:val="22"/>
              </w:rPr>
              <w:t>0.</w:t>
            </w:r>
            <w:r w:rsidR="0046234B">
              <w:rPr>
                <w:rFonts w:asciiTheme="minorHAnsi" w:hAnsiTheme="minorHAnsi"/>
                <w:sz w:val="22"/>
                <w:szCs w:val="22"/>
              </w:rPr>
              <w:t>03</w:t>
            </w:r>
          </w:p>
        </w:tc>
      </w:tr>
      <w:tr w:rsidR="006C50EB" w:rsidRPr="00C00879" w:rsidTr="00DD7565">
        <w:trPr>
          <w:trHeight w:val="233"/>
        </w:trPr>
        <w:tc>
          <w:tcPr>
            <w:cnfStyle w:val="001000000000" w:firstRow="0" w:lastRow="0" w:firstColumn="1" w:lastColumn="0" w:oddVBand="0" w:evenVBand="0" w:oddHBand="0" w:evenHBand="0" w:firstRowFirstColumn="0" w:firstRowLastColumn="0" w:lastRowFirstColumn="0" w:lastRowLastColumn="0"/>
            <w:tcW w:w="2723" w:type="dxa"/>
          </w:tcPr>
          <w:p w:rsidR="006C50EB" w:rsidRPr="00C67D15" w:rsidRDefault="006C50EB" w:rsidP="002B3D3D">
            <w:pPr>
              <w:pStyle w:val="NormalWeb"/>
              <w:rPr>
                <w:rFonts w:asciiTheme="minorHAnsi" w:hAnsiTheme="minorHAnsi"/>
                <w:sz w:val="22"/>
                <w:szCs w:val="22"/>
              </w:rPr>
            </w:pPr>
            <w:r w:rsidRPr="00C67D15">
              <w:rPr>
                <w:rFonts w:asciiTheme="minorHAnsi" w:hAnsiTheme="minorHAnsi"/>
                <w:sz w:val="22"/>
                <w:szCs w:val="22"/>
              </w:rPr>
              <w:t>NPV</w:t>
            </w:r>
          </w:p>
        </w:tc>
        <w:tc>
          <w:tcPr>
            <w:tcW w:w="3510" w:type="dxa"/>
          </w:tcPr>
          <w:p w:rsidR="006C50EB" w:rsidRPr="00C67D15" w:rsidRDefault="006C50EB" w:rsidP="006C50E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67D15">
              <w:rPr>
                <w:rFonts w:asciiTheme="minorHAnsi" w:hAnsiTheme="minorHAnsi"/>
                <w:sz w:val="22"/>
                <w:szCs w:val="22"/>
              </w:rPr>
              <w:t xml:space="preserve">Negative </w:t>
            </w:r>
            <w:r>
              <w:rPr>
                <w:rFonts w:asciiTheme="minorHAnsi" w:hAnsiTheme="minorHAnsi"/>
                <w:sz w:val="22"/>
                <w:szCs w:val="22"/>
              </w:rPr>
              <w:t>Predictive</w:t>
            </w:r>
            <w:r w:rsidR="00DD7565">
              <w:rPr>
                <w:rFonts w:asciiTheme="minorHAnsi" w:hAnsiTheme="minorHAnsi"/>
                <w:sz w:val="22"/>
                <w:szCs w:val="22"/>
              </w:rPr>
              <w:t xml:space="preserve"> </w:t>
            </w:r>
            <w:r w:rsidRPr="00C67D15">
              <w:rPr>
                <w:rFonts w:asciiTheme="minorHAnsi" w:hAnsiTheme="minorHAnsi"/>
                <w:sz w:val="22"/>
                <w:szCs w:val="22"/>
              </w:rPr>
              <w:t>Value (NPV</w:t>
            </w:r>
            <w:r>
              <w:rPr>
                <w:rFonts w:asciiTheme="minorHAnsi" w:hAnsiTheme="minorHAnsi"/>
                <w:sz w:val="22"/>
                <w:szCs w:val="22"/>
              </w:rPr>
              <w:t>)</w:t>
            </w:r>
          </w:p>
        </w:tc>
        <w:tc>
          <w:tcPr>
            <w:tcW w:w="1867" w:type="dxa"/>
          </w:tcPr>
          <w:p w:rsidR="006C50EB" w:rsidRPr="00872265" w:rsidRDefault="006C50EB" w:rsidP="00114775">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w:t>
            </w:r>
            <w:r w:rsidR="000F5CE8">
              <w:rPr>
                <w:rFonts w:asciiTheme="minorHAnsi" w:hAnsiTheme="minorHAnsi"/>
                <w:sz w:val="22"/>
                <w:szCs w:val="22"/>
              </w:rPr>
              <w:t>923</w:t>
            </w:r>
          </w:p>
        </w:tc>
      </w:tr>
    </w:tbl>
    <w:p w:rsidR="00C45AC6" w:rsidRDefault="00C45AC6" w:rsidP="00C45AC6">
      <w:pPr>
        <w:rPr>
          <w:szCs w:val="22"/>
        </w:rPr>
      </w:pPr>
    </w:p>
    <w:p w:rsidR="00A55753" w:rsidRPr="00A55753" w:rsidRDefault="00A55753" w:rsidP="00C45AC6">
      <w:pPr>
        <w:rPr>
          <w:b/>
          <w:color w:val="0070C0"/>
          <w:szCs w:val="22"/>
        </w:rPr>
      </w:pPr>
      <w:r w:rsidRPr="00A55753">
        <w:rPr>
          <w:b/>
          <w:color w:val="0070C0"/>
          <w:szCs w:val="22"/>
        </w:rPr>
        <w:t>Test Set 1</w:t>
      </w:r>
      <w:r w:rsidR="00C96F5E">
        <w:rPr>
          <w:b/>
          <w:color w:val="0070C0"/>
          <w:szCs w:val="22"/>
        </w:rPr>
        <w:t xml:space="preserve"> (Independent Validation at Harvard)</w:t>
      </w:r>
    </w:p>
    <w:p w:rsidR="00C45AC6" w:rsidRDefault="00C45AC6" w:rsidP="00C45AC6">
      <w:pPr>
        <w:rPr>
          <w:szCs w:val="22"/>
        </w:rPr>
      </w:pPr>
      <w:r w:rsidRPr="00114775">
        <w:rPr>
          <w:szCs w:val="22"/>
        </w:rPr>
        <w:t xml:space="preserve">An independent Test Set </w:t>
      </w:r>
      <w:r>
        <w:rPr>
          <w:szCs w:val="22"/>
        </w:rPr>
        <w:t xml:space="preserve">1 </w:t>
      </w:r>
      <w:r w:rsidRPr="00114775">
        <w:rPr>
          <w:szCs w:val="22"/>
        </w:rPr>
        <w:t>was created by chart reviews of</w:t>
      </w:r>
      <w:r>
        <w:rPr>
          <w:szCs w:val="22"/>
        </w:rPr>
        <w:t xml:space="preserve"> a randomly select set of 100 screen positive charts</w:t>
      </w:r>
      <w:r w:rsidR="009D4B01">
        <w:rPr>
          <w:szCs w:val="22"/>
        </w:rPr>
        <w:t xml:space="preserve"> (34 Definite RA, 66 Not RA)</w:t>
      </w:r>
      <w:r w:rsidRPr="00114775">
        <w:rPr>
          <w:szCs w:val="22"/>
        </w:rPr>
        <w:t xml:space="preserve">. </w:t>
      </w:r>
      <w:r>
        <w:rPr>
          <w:szCs w:val="22"/>
        </w:rPr>
        <w:t xml:space="preserve">A </w:t>
      </w:r>
      <w:r w:rsidRPr="005F0D24">
        <w:rPr>
          <w:szCs w:val="22"/>
        </w:rPr>
        <w:t xml:space="preserve">threshold value based on </w:t>
      </w:r>
      <w:r>
        <w:rPr>
          <w:szCs w:val="22"/>
        </w:rPr>
        <w:t>specificity = 97%</w:t>
      </w:r>
      <w:r w:rsidRPr="005F0D24">
        <w:rPr>
          <w:szCs w:val="22"/>
        </w:rPr>
        <w:t xml:space="preserve"> </w:t>
      </w:r>
      <w:r w:rsidR="009D4B01">
        <w:rPr>
          <w:szCs w:val="22"/>
        </w:rPr>
        <w:t xml:space="preserve">for the Harvard algorithm in the training set </w:t>
      </w:r>
      <w:r w:rsidRPr="005F0D24">
        <w:rPr>
          <w:szCs w:val="22"/>
        </w:rPr>
        <w:t xml:space="preserve">was selected for which to identify cases and </w:t>
      </w:r>
      <w:r>
        <w:rPr>
          <w:szCs w:val="22"/>
        </w:rPr>
        <w:t>non-cases</w:t>
      </w:r>
      <w:r w:rsidR="009D4B01">
        <w:rPr>
          <w:szCs w:val="22"/>
        </w:rPr>
        <w:t xml:space="preserve"> in the test set</w:t>
      </w:r>
      <w:r w:rsidRPr="005F0D24">
        <w:rPr>
          <w:szCs w:val="22"/>
        </w:rPr>
        <w:t xml:space="preserve">, with those above the cutoff identified as cases and those below, </w:t>
      </w:r>
      <w:r>
        <w:rPr>
          <w:szCs w:val="22"/>
        </w:rPr>
        <w:t>non-cases.</w:t>
      </w:r>
      <w:r w:rsidRPr="00114775">
        <w:rPr>
          <w:szCs w:val="22"/>
        </w:rPr>
        <w:t xml:space="preserve"> </w:t>
      </w:r>
    </w:p>
    <w:tbl>
      <w:tblPr>
        <w:tblW w:w="0" w:type="auto"/>
        <w:tblInd w:w="602" w:type="dxa"/>
        <w:tblCellMar>
          <w:left w:w="0" w:type="dxa"/>
          <w:right w:w="0" w:type="dxa"/>
        </w:tblCellMar>
        <w:tblLook w:val="04A0" w:firstRow="1" w:lastRow="0" w:firstColumn="1" w:lastColumn="0" w:noHBand="0" w:noVBand="1"/>
      </w:tblPr>
      <w:tblGrid>
        <w:gridCol w:w="1458"/>
        <w:gridCol w:w="615"/>
        <w:gridCol w:w="1150"/>
        <w:gridCol w:w="960"/>
      </w:tblGrid>
      <w:tr w:rsidR="009D4B01" w:rsidRPr="009D4B01" w:rsidTr="00126E85">
        <w:trPr>
          <w:trHeight w:val="300"/>
        </w:trPr>
        <w:tc>
          <w:tcPr>
            <w:tcW w:w="4183"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D4B01" w:rsidRPr="009D4B01" w:rsidRDefault="009D4B01" w:rsidP="00126E85">
            <w:pPr>
              <w:ind w:left="0"/>
              <w:rPr>
                <w:color w:val="2E74B5" w:themeColor="accent1" w:themeShade="BF"/>
              </w:rPr>
            </w:pPr>
            <w:r w:rsidRPr="009D4B01">
              <w:rPr>
                <w:color w:val="2E74B5" w:themeColor="accent1" w:themeShade="BF"/>
              </w:rPr>
              <w:t>Test Set 1: Validation at Harvard</w:t>
            </w:r>
          </w:p>
        </w:tc>
      </w:tr>
      <w:tr w:rsidR="009D4B01" w:rsidRPr="009D4B01" w:rsidTr="00126E85">
        <w:trPr>
          <w:trHeight w:val="300"/>
        </w:trPr>
        <w:tc>
          <w:tcPr>
            <w:tcW w:w="14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rFonts w:ascii="Times New Roman" w:eastAsia="Times New Roman" w:hAnsi="Times New Roman"/>
                <w:color w:val="2E74B5" w:themeColor="accent1" w:themeShade="BF"/>
                <w:sz w:val="20"/>
              </w:rPr>
            </w:pPr>
          </w:p>
        </w:tc>
        <w:tc>
          <w:tcPr>
            <w:tcW w:w="11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rFonts w:ascii="Calibri" w:eastAsiaTheme="minorHAnsi" w:hAnsi="Calibri"/>
                <w:color w:val="2E74B5" w:themeColor="accent1" w:themeShade="BF"/>
                <w:szCs w:val="22"/>
              </w:rPr>
            </w:pPr>
            <w:r w:rsidRPr="009D4B01">
              <w:rPr>
                <w:color w:val="2E74B5" w:themeColor="accent1" w:themeShade="BF"/>
              </w:rPr>
              <w:t>Chart Review</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p>
        </w:tc>
      </w:tr>
      <w:tr w:rsidR="009D4B01" w:rsidRPr="009D4B01" w:rsidTr="00126E85">
        <w:trPr>
          <w:trHeight w:val="300"/>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rFonts w:ascii="Times New Roman" w:eastAsia="Times New Roman" w:hAnsi="Times New Roman"/>
                <w:color w:val="2E74B5" w:themeColor="accent1" w:themeShade="BF"/>
                <w:sz w:val="20"/>
              </w:rPr>
            </w:pPr>
            <w:bookmarkStart w:id="6" w:name="_GoBack"/>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rFonts w:ascii="Times New Roman" w:eastAsia="Times New Roman" w:hAnsi="Times New Roman"/>
                <w:color w:val="2E74B5" w:themeColor="accent1" w:themeShade="BF"/>
                <w:sz w:val="20"/>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rFonts w:ascii="Calibri" w:eastAsiaTheme="minorHAnsi" w:hAnsi="Calibri"/>
                <w:color w:val="2E74B5" w:themeColor="accent1" w:themeShade="BF"/>
                <w:szCs w:val="22"/>
              </w:rPr>
            </w:pPr>
            <w:r w:rsidRPr="009D4B01">
              <w:rPr>
                <w:color w:val="2E74B5" w:themeColor="accent1" w:themeShade="BF"/>
              </w:rPr>
              <w:t>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r w:rsidRPr="009D4B01">
              <w:rPr>
                <w:color w:val="2E74B5" w:themeColor="accent1" w:themeShade="BF"/>
              </w:rPr>
              <w:t>F</w:t>
            </w:r>
          </w:p>
        </w:tc>
      </w:tr>
      <w:bookmarkEnd w:id="6"/>
      <w:tr w:rsidR="009D4B01" w:rsidRPr="009D4B01" w:rsidTr="00126E85">
        <w:trPr>
          <w:trHeight w:val="300"/>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jc w:val="both"/>
              <w:rPr>
                <w:color w:val="2E74B5" w:themeColor="accent1" w:themeShade="BF"/>
              </w:rPr>
            </w:pPr>
            <w:r w:rsidRPr="009D4B01">
              <w:rPr>
                <w:color w:val="2E74B5" w:themeColor="accent1" w:themeShade="BF"/>
              </w:rPr>
              <w:t>Algorithm</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r w:rsidRPr="009D4B01">
              <w:rPr>
                <w:color w:val="2E74B5" w:themeColor="accent1" w:themeShade="BF"/>
              </w:rPr>
              <w:t>T</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r w:rsidRPr="009D4B01">
              <w:rPr>
                <w:color w:val="2E74B5" w:themeColor="accent1" w:themeShade="BF"/>
              </w:rPr>
              <w:t>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r w:rsidRPr="009D4B01">
              <w:rPr>
                <w:color w:val="2E74B5" w:themeColor="accent1" w:themeShade="BF"/>
              </w:rPr>
              <w:t>2</w:t>
            </w:r>
          </w:p>
        </w:tc>
      </w:tr>
      <w:tr w:rsidR="009D4B01" w:rsidRPr="009D4B01" w:rsidTr="00126E85">
        <w:trPr>
          <w:trHeight w:val="300"/>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rFonts w:ascii="Calibri" w:eastAsiaTheme="minorHAnsi" w:hAnsi="Calibri"/>
                <w:color w:val="2E74B5" w:themeColor="accent1" w:themeShade="BF"/>
                <w:szCs w:val="22"/>
              </w:rPr>
            </w:pPr>
            <w:r w:rsidRPr="009D4B01">
              <w:rPr>
                <w:color w:val="2E74B5" w:themeColor="accent1" w:themeShade="BF"/>
              </w:rPr>
              <w:t>F</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r w:rsidRPr="009D4B01">
              <w:rPr>
                <w:color w:val="2E74B5" w:themeColor="accent1" w:themeShade="BF"/>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D4B01" w:rsidRPr="009D4B01" w:rsidRDefault="009D4B01" w:rsidP="00126E85">
            <w:pPr>
              <w:rPr>
                <w:color w:val="2E74B5" w:themeColor="accent1" w:themeShade="BF"/>
              </w:rPr>
            </w:pPr>
            <w:r w:rsidRPr="009D4B01">
              <w:rPr>
                <w:color w:val="2E74B5" w:themeColor="accent1" w:themeShade="BF"/>
              </w:rPr>
              <w:t>64</w:t>
            </w:r>
          </w:p>
        </w:tc>
      </w:tr>
    </w:tbl>
    <w:p w:rsidR="009D4B01" w:rsidRPr="009D4B01" w:rsidRDefault="009D4B01" w:rsidP="009D4B01">
      <w:pPr>
        <w:ind w:left="720"/>
        <w:rPr>
          <w:rFonts w:ascii="Calibri" w:eastAsiaTheme="minorHAnsi" w:hAnsi="Calibri"/>
          <w:color w:val="2E74B5" w:themeColor="accent1" w:themeShade="BF"/>
          <w:szCs w:val="22"/>
        </w:rPr>
      </w:pPr>
      <w:r w:rsidRPr="009D4B01">
        <w:rPr>
          <w:color w:val="2E74B5" w:themeColor="accent1" w:themeShade="BF"/>
        </w:rPr>
        <w:t>PPV 94%, Sensitivity 88%, Specificity 98%, NPV 94%</w:t>
      </w:r>
    </w:p>
    <w:p w:rsidR="00C45AC6" w:rsidRPr="00C45AC6" w:rsidRDefault="009D4B01" w:rsidP="00C45AC6">
      <w:pPr>
        <w:rPr>
          <w:color w:val="0070C0"/>
          <w:szCs w:val="22"/>
        </w:rPr>
      </w:pPr>
      <w:r w:rsidRPr="009D4B01">
        <w:rPr>
          <w:color w:val="0070C0"/>
          <w:szCs w:val="22"/>
        </w:rPr>
        <w:t>The PPV (rate of true positives in those classified as cases by the algorithm) was 94% in Test Set 1.</w:t>
      </w:r>
    </w:p>
    <w:p w:rsidR="00A55753" w:rsidRPr="00A55753" w:rsidRDefault="00A55753" w:rsidP="00C45AC6">
      <w:pPr>
        <w:rPr>
          <w:b/>
          <w:color w:val="0070C0"/>
          <w:szCs w:val="22"/>
        </w:rPr>
      </w:pPr>
      <w:r w:rsidRPr="00A55753">
        <w:rPr>
          <w:b/>
          <w:color w:val="0070C0"/>
          <w:szCs w:val="22"/>
        </w:rPr>
        <w:t>Test Set 2</w:t>
      </w:r>
      <w:r w:rsidR="00C96F5E">
        <w:rPr>
          <w:b/>
          <w:color w:val="0070C0"/>
          <w:szCs w:val="22"/>
        </w:rPr>
        <w:t xml:space="preserve"> (Secondary Validation at Vanderbilt)</w:t>
      </w:r>
    </w:p>
    <w:p w:rsidR="00C45AC6" w:rsidRDefault="00C45AC6" w:rsidP="00C45AC6">
      <w:pPr>
        <w:rPr>
          <w:szCs w:val="22"/>
        </w:rPr>
      </w:pPr>
      <w:r>
        <w:rPr>
          <w:szCs w:val="22"/>
        </w:rPr>
        <w:t>An independent Test Set 2 was selected at Vanderbilt for secondary validation from chart reviews performed for a prior RA algorithm portability testing project</w:t>
      </w:r>
      <w:r w:rsidR="009F54C3">
        <w:rPr>
          <w:szCs w:val="22"/>
        </w:rPr>
        <w:t xml:space="preserve"> (</w:t>
      </w:r>
      <w:r w:rsidR="00A55753" w:rsidRPr="00A55753">
        <w:rPr>
          <w:szCs w:val="22"/>
          <w:vertAlign w:val="superscript"/>
        </w:rPr>
        <w:t>5</w:t>
      </w:r>
      <w:r w:rsidR="009F54C3">
        <w:rPr>
          <w:szCs w:val="22"/>
        </w:rPr>
        <w:t>)</w:t>
      </w:r>
      <w:r>
        <w:rPr>
          <w:szCs w:val="22"/>
        </w:rPr>
        <w:t>.</w:t>
      </w:r>
      <w:r w:rsidR="00A55753">
        <w:rPr>
          <w:szCs w:val="22"/>
        </w:rPr>
        <w:t xml:space="preserve"> In that project, 290 charts were reviewed for ACR criteria for rheumatoid arthritis</w:t>
      </w:r>
      <w:r w:rsidR="00C96F5E">
        <w:rPr>
          <w:szCs w:val="22"/>
        </w:rPr>
        <w:t xml:space="preserve"> (154 Definite RA, 136 Not RA</w:t>
      </w:r>
      <w:r w:rsidR="009D4B01">
        <w:rPr>
          <w:szCs w:val="22"/>
        </w:rPr>
        <w:t>).</w:t>
      </w:r>
      <w:r w:rsidR="009D4B01" w:rsidRPr="009D4B01">
        <w:rPr>
          <w:szCs w:val="22"/>
        </w:rPr>
        <w:t xml:space="preserve"> </w:t>
      </w:r>
      <w:r w:rsidR="009D4B01">
        <w:rPr>
          <w:szCs w:val="22"/>
        </w:rPr>
        <w:t xml:space="preserve">A </w:t>
      </w:r>
      <w:r w:rsidR="009D4B01" w:rsidRPr="005F0D24">
        <w:rPr>
          <w:szCs w:val="22"/>
        </w:rPr>
        <w:t xml:space="preserve">threshold value based on </w:t>
      </w:r>
      <w:r w:rsidR="009D4B01">
        <w:rPr>
          <w:szCs w:val="22"/>
        </w:rPr>
        <w:t>specificity = 97%</w:t>
      </w:r>
      <w:r w:rsidR="009D4B01" w:rsidRPr="005F0D24">
        <w:rPr>
          <w:szCs w:val="22"/>
        </w:rPr>
        <w:t xml:space="preserve"> </w:t>
      </w:r>
      <w:r w:rsidR="009D4B01">
        <w:rPr>
          <w:szCs w:val="22"/>
        </w:rPr>
        <w:t xml:space="preserve">for the Harvard algorithm in the training set </w:t>
      </w:r>
      <w:r w:rsidR="009D4B01" w:rsidRPr="005F0D24">
        <w:rPr>
          <w:szCs w:val="22"/>
        </w:rPr>
        <w:t xml:space="preserve">was selected for which to identify cases and </w:t>
      </w:r>
      <w:r w:rsidR="009D4B01">
        <w:rPr>
          <w:szCs w:val="22"/>
        </w:rPr>
        <w:t>non-cases in the test set</w:t>
      </w:r>
      <w:r w:rsidR="009D4B01" w:rsidRPr="005F0D24">
        <w:rPr>
          <w:szCs w:val="22"/>
        </w:rPr>
        <w:t xml:space="preserve">, with those above the cutoff identified as cases and those below, </w:t>
      </w:r>
      <w:r w:rsidR="009D4B01">
        <w:rPr>
          <w:szCs w:val="22"/>
        </w:rPr>
        <w:t>non-cases.</w:t>
      </w:r>
    </w:p>
    <w:tbl>
      <w:tblPr>
        <w:tblW w:w="0" w:type="auto"/>
        <w:tblInd w:w="602" w:type="dxa"/>
        <w:tblCellMar>
          <w:left w:w="0" w:type="dxa"/>
          <w:right w:w="0" w:type="dxa"/>
        </w:tblCellMar>
        <w:tblLook w:val="04A0" w:firstRow="1" w:lastRow="0" w:firstColumn="1" w:lastColumn="0" w:noHBand="0" w:noVBand="1"/>
      </w:tblPr>
      <w:tblGrid>
        <w:gridCol w:w="1458"/>
        <w:gridCol w:w="615"/>
        <w:gridCol w:w="1150"/>
        <w:gridCol w:w="960"/>
      </w:tblGrid>
      <w:tr w:rsidR="009D4B01" w:rsidRPr="009D4B01" w:rsidTr="00C96F5E">
        <w:trPr>
          <w:trHeight w:val="300"/>
        </w:trPr>
        <w:tc>
          <w:tcPr>
            <w:tcW w:w="4183"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C96F5E" w:rsidRPr="009D4B01" w:rsidRDefault="009D4B01" w:rsidP="00C96F5E">
            <w:pPr>
              <w:ind w:left="0"/>
              <w:rPr>
                <w:color w:val="2E74B5" w:themeColor="accent1" w:themeShade="BF"/>
              </w:rPr>
            </w:pPr>
            <w:r w:rsidRPr="009D4B01">
              <w:rPr>
                <w:color w:val="2E74B5" w:themeColor="accent1" w:themeShade="BF"/>
              </w:rPr>
              <w:t>Test Set 2:  V</w:t>
            </w:r>
            <w:r w:rsidR="00C96F5E" w:rsidRPr="009D4B01">
              <w:rPr>
                <w:color w:val="2E74B5" w:themeColor="accent1" w:themeShade="BF"/>
              </w:rPr>
              <w:t>alidation at Vanderbilt</w:t>
            </w:r>
          </w:p>
        </w:tc>
      </w:tr>
      <w:tr w:rsidR="009D4B01" w:rsidRPr="009D4B01" w:rsidTr="00C96F5E">
        <w:trPr>
          <w:trHeight w:val="300"/>
        </w:trPr>
        <w:tc>
          <w:tcPr>
            <w:tcW w:w="14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rFonts w:ascii="Times New Roman" w:eastAsia="Times New Roman" w:hAnsi="Times New Roman"/>
                <w:color w:val="2E74B5" w:themeColor="accent1" w:themeShade="BF"/>
                <w:sz w:val="20"/>
              </w:rPr>
            </w:pPr>
          </w:p>
        </w:tc>
        <w:tc>
          <w:tcPr>
            <w:tcW w:w="11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rFonts w:ascii="Calibri" w:eastAsiaTheme="minorHAnsi" w:hAnsi="Calibri"/>
                <w:color w:val="2E74B5" w:themeColor="accent1" w:themeShade="BF"/>
                <w:szCs w:val="22"/>
              </w:rPr>
            </w:pPr>
            <w:r w:rsidRPr="009D4B01">
              <w:rPr>
                <w:color w:val="2E74B5" w:themeColor="accent1" w:themeShade="BF"/>
              </w:rPr>
              <w:t>Chart Review</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p>
        </w:tc>
      </w:tr>
      <w:tr w:rsidR="009D4B01" w:rsidRPr="009D4B01" w:rsidTr="00C96F5E">
        <w:trPr>
          <w:trHeight w:val="300"/>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rFonts w:ascii="Times New Roman" w:eastAsia="Times New Roman" w:hAnsi="Times New Roman"/>
                <w:color w:val="2E74B5" w:themeColor="accent1" w:themeShade="BF"/>
                <w:sz w:val="20"/>
              </w:rPr>
            </w:pP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rFonts w:ascii="Times New Roman" w:eastAsia="Times New Roman" w:hAnsi="Times New Roman"/>
                <w:color w:val="2E74B5" w:themeColor="accent1" w:themeShade="BF"/>
                <w:sz w:val="20"/>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rFonts w:ascii="Calibri" w:eastAsiaTheme="minorHAnsi" w:hAnsi="Calibri"/>
                <w:color w:val="2E74B5" w:themeColor="accent1" w:themeShade="BF"/>
                <w:szCs w:val="22"/>
              </w:rPr>
            </w:pPr>
            <w:r w:rsidRPr="009D4B01">
              <w:rPr>
                <w:color w:val="2E74B5" w:themeColor="accent1" w:themeShade="BF"/>
              </w:rPr>
              <w:t>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r w:rsidRPr="009D4B01">
              <w:rPr>
                <w:color w:val="2E74B5" w:themeColor="accent1" w:themeShade="BF"/>
              </w:rPr>
              <w:t>F</w:t>
            </w:r>
          </w:p>
        </w:tc>
      </w:tr>
      <w:tr w:rsidR="009D4B01" w:rsidRPr="009D4B01" w:rsidTr="00C96F5E">
        <w:trPr>
          <w:trHeight w:val="300"/>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C96F5E">
            <w:pPr>
              <w:jc w:val="both"/>
              <w:rPr>
                <w:color w:val="2E74B5" w:themeColor="accent1" w:themeShade="BF"/>
              </w:rPr>
            </w:pPr>
            <w:r w:rsidRPr="009D4B01">
              <w:rPr>
                <w:color w:val="2E74B5" w:themeColor="accent1" w:themeShade="BF"/>
              </w:rPr>
              <w:t>Algorithm</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r w:rsidRPr="009D4B01">
              <w:rPr>
                <w:color w:val="2E74B5" w:themeColor="accent1" w:themeShade="BF"/>
              </w:rPr>
              <w:t>T</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r w:rsidRPr="009D4B01">
              <w:rPr>
                <w:color w:val="2E74B5" w:themeColor="accent1" w:themeShade="BF"/>
              </w:rPr>
              <w:t>128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r w:rsidRPr="009D4B01">
              <w:rPr>
                <w:color w:val="2E74B5" w:themeColor="accent1" w:themeShade="BF"/>
              </w:rPr>
              <w:t>11</w:t>
            </w:r>
          </w:p>
        </w:tc>
      </w:tr>
      <w:tr w:rsidR="009D4B01" w:rsidRPr="009D4B01" w:rsidTr="00C96F5E">
        <w:trPr>
          <w:trHeight w:val="300"/>
        </w:trPr>
        <w:tc>
          <w:tcPr>
            <w:tcW w:w="1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rFonts w:ascii="Calibri" w:eastAsiaTheme="minorHAnsi" w:hAnsi="Calibri"/>
                <w:color w:val="2E74B5" w:themeColor="accent1" w:themeShade="BF"/>
                <w:szCs w:val="22"/>
              </w:rPr>
            </w:pPr>
            <w:r w:rsidRPr="009D4B01">
              <w:rPr>
                <w:color w:val="2E74B5" w:themeColor="accent1" w:themeShade="BF"/>
              </w:rPr>
              <w:t>F</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r w:rsidRPr="009D4B01">
              <w:rPr>
                <w:color w:val="2E74B5" w:themeColor="accent1" w:themeShade="BF"/>
              </w:rPr>
              <w:t>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96F5E" w:rsidRPr="009D4B01" w:rsidRDefault="00C96F5E" w:rsidP="009558AD">
            <w:pPr>
              <w:rPr>
                <w:color w:val="2E74B5" w:themeColor="accent1" w:themeShade="BF"/>
              </w:rPr>
            </w:pPr>
            <w:r w:rsidRPr="009D4B01">
              <w:rPr>
                <w:color w:val="2E74B5" w:themeColor="accent1" w:themeShade="BF"/>
              </w:rPr>
              <w:t>125</w:t>
            </w:r>
          </w:p>
        </w:tc>
      </w:tr>
    </w:tbl>
    <w:p w:rsidR="00C96F5E" w:rsidRPr="009D4B01" w:rsidRDefault="009D4B01" w:rsidP="00C96F5E">
      <w:pPr>
        <w:ind w:left="720"/>
        <w:rPr>
          <w:rFonts w:ascii="Calibri" w:eastAsiaTheme="minorHAnsi" w:hAnsi="Calibri"/>
          <w:color w:val="2E74B5" w:themeColor="accent1" w:themeShade="BF"/>
          <w:szCs w:val="22"/>
        </w:rPr>
      </w:pPr>
      <w:r w:rsidRPr="009D4B01">
        <w:rPr>
          <w:color w:val="2E74B5" w:themeColor="accent1" w:themeShade="BF"/>
        </w:rPr>
        <w:t xml:space="preserve">PPV 92%, Sensitivity </w:t>
      </w:r>
      <w:r w:rsidR="00C96F5E" w:rsidRPr="009D4B01">
        <w:rPr>
          <w:color w:val="2E74B5" w:themeColor="accent1" w:themeShade="BF"/>
        </w:rPr>
        <w:t>83%</w:t>
      </w:r>
      <w:r w:rsidRPr="009D4B01">
        <w:rPr>
          <w:color w:val="2E74B5" w:themeColor="accent1" w:themeShade="BF"/>
        </w:rPr>
        <w:t>, Specificity 92%, NPV 83%</w:t>
      </w:r>
    </w:p>
    <w:p w:rsidR="00C45AC6" w:rsidRPr="00C45AC6" w:rsidRDefault="00C45AC6" w:rsidP="00C45AC6">
      <w:pPr>
        <w:rPr>
          <w:rFonts w:ascii="Times New Roman" w:eastAsiaTheme="minorHAnsi" w:hAnsi="Times New Roman"/>
          <w:color w:val="0070C0"/>
          <w:sz w:val="24"/>
          <w:szCs w:val="24"/>
        </w:rPr>
      </w:pPr>
      <w:r w:rsidRPr="00C45AC6">
        <w:rPr>
          <w:color w:val="0070C0"/>
          <w:szCs w:val="22"/>
        </w:rPr>
        <w:t>The PPV (rate of true positives in those classified as cases by the algorithm) was 92% in Test Set 2.</w:t>
      </w:r>
    </w:p>
    <w:p w:rsidR="00656F06" w:rsidRDefault="00656F06" w:rsidP="00656F06">
      <w:pPr>
        <w:rPr>
          <w:b/>
        </w:rPr>
      </w:pPr>
      <w:bookmarkStart w:id="7" w:name="_Toc317845103"/>
      <w:bookmarkEnd w:id="1"/>
      <w:bookmarkEnd w:id="2"/>
      <w:bookmarkEnd w:id="3"/>
    </w:p>
    <w:p w:rsidR="004D4464" w:rsidRPr="002856C9" w:rsidRDefault="00163CA0" w:rsidP="00163CA0">
      <w:pPr>
        <w:pStyle w:val="ListParagraph"/>
        <w:tabs>
          <w:tab w:val="clear" w:pos="4680"/>
          <w:tab w:val="left" w:pos="8460"/>
        </w:tabs>
        <w:ind w:left="540"/>
        <w:rPr>
          <w:szCs w:val="22"/>
        </w:rPr>
      </w:pPr>
      <w:r w:rsidRPr="002856C9">
        <w:rPr>
          <w:szCs w:val="22"/>
        </w:rPr>
        <w:tab/>
      </w:r>
    </w:p>
    <w:p w:rsidR="00872265" w:rsidRDefault="00872265" w:rsidP="00872265">
      <w:pPr>
        <w:pStyle w:val="Heading2"/>
      </w:pPr>
      <w:bookmarkStart w:id="8" w:name="_Toc489348578"/>
      <w:bookmarkEnd w:id="7"/>
      <w:r>
        <w:lastRenderedPageBreak/>
        <w:t>Reference:</w:t>
      </w:r>
      <w:bookmarkEnd w:id="8"/>
    </w:p>
    <w:p w:rsidR="00A823F2" w:rsidRPr="00077EE5" w:rsidRDefault="00CA76F6" w:rsidP="00163CA0">
      <w:pPr>
        <w:tabs>
          <w:tab w:val="clear" w:pos="4680"/>
        </w:tabs>
        <w:autoSpaceDE w:val="0"/>
        <w:autoSpaceDN w:val="0"/>
        <w:adjustRightInd w:val="0"/>
        <w:spacing w:after="0"/>
        <w:ind w:left="0"/>
        <w:rPr>
          <w:rFonts w:eastAsia="Dutch801BT-Roman" w:cs="Dutch801BT-Roman"/>
          <w:color w:val="221E1F"/>
          <w:szCs w:val="22"/>
        </w:rPr>
      </w:pPr>
      <w:r>
        <w:fldChar w:fldCharType="begin"/>
      </w:r>
      <w:r w:rsidR="00872265">
        <w:instrText xml:space="preserve"> ADDIN EN.REFLIST </w:instrText>
      </w:r>
      <w:r>
        <w:fldChar w:fldCharType="separate"/>
      </w:r>
      <w:r w:rsidR="00163CA0">
        <w:rPr>
          <w:rFonts w:ascii="Calibri" w:hAnsi="Calibri" w:cs="Calibri"/>
          <w:b/>
        </w:rPr>
        <w:t xml:space="preserve">1. </w:t>
      </w:r>
      <w:r w:rsidR="00163CA0">
        <w:rPr>
          <w:rFonts w:ascii="Calibri" w:hAnsi="Calibri" w:cs="Calibri"/>
          <w:b/>
        </w:rPr>
        <w:tab/>
      </w:r>
      <w:r w:rsidR="00A823F2" w:rsidRPr="00077EE5">
        <w:rPr>
          <w:rFonts w:eastAsia="Dutch801BT-Roman" w:cs="Dutch801BT-Roman"/>
          <w:color w:val="221E1F"/>
          <w:szCs w:val="22"/>
        </w:rPr>
        <w:t>Aletaha D, Neogi T, Silman AJ, Funovits J, Felson DT, Bingham CO 3rd, Birnbaum</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NS, Burmester GR, Bykerk VP, Cohen MD, Combe B, Costenbader KH, Dougados M, Emery</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P, Ferraccioli G, Hazes JM, Hobbs K, Huizinga TW, Kavanaugh A, Kay J, Kvien TK,</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Laing T, Mease P, Ménard HA, Moreland LW, Naden RL, Pincus T, Smolen JS,</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Stanislawska-Biernat E, Symmons D, Tak PP, Upchurch KS, Vencovský J, Wolfe F,</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 xml:space="preserve">Hawker G. 2010 Rheumatoid arthritis classification criteria: an American College </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of Rheumatology/European League Against Rheumatism collaborative initiative.</w:t>
      </w:r>
    </w:p>
    <w:p w:rsidR="00A823F2" w:rsidRPr="00077EE5" w:rsidRDefault="00A823F2" w:rsidP="00163CA0">
      <w:pPr>
        <w:tabs>
          <w:tab w:val="clear" w:pos="4680"/>
        </w:tabs>
        <w:autoSpaceDE w:val="0"/>
        <w:autoSpaceDN w:val="0"/>
        <w:adjustRightInd w:val="0"/>
        <w:spacing w:after="0"/>
        <w:ind w:left="720"/>
        <w:rPr>
          <w:rFonts w:eastAsia="Dutch801BT-Roman" w:cs="Dutch801BT-Roman"/>
          <w:color w:val="221E1F"/>
          <w:szCs w:val="22"/>
        </w:rPr>
      </w:pPr>
      <w:r w:rsidRPr="00077EE5">
        <w:rPr>
          <w:rFonts w:eastAsia="Dutch801BT-Roman" w:cs="Dutch801BT-Roman"/>
          <w:color w:val="221E1F"/>
          <w:szCs w:val="22"/>
        </w:rPr>
        <w:t>Arthritis Rheum. 2010 Sep;62(9):2569-81. doi: 10.1002/art.27584. PubMed PMID:</w:t>
      </w:r>
    </w:p>
    <w:p w:rsidR="00A823F2" w:rsidRDefault="00A823F2" w:rsidP="00163CA0">
      <w:pPr>
        <w:spacing w:after="0"/>
        <w:ind w:left="1440" w:hanging="720"/>
        <w:rPr>
          <w:rFonts w:ascii="Calibri" w:hAnsi="Calibri" w:cs="Calibri"/>
          <w:b/>
        </w:rPr>
      </w:pPr>
      <w:r w:rsidRPr="00077EE5">
        <w:rPr>
          <w:rFonts w:eastAsia="Dutch801BT-Roman" w:cs="Dutch801BT-Roman"/>
          <w:color w:val="221E1F"/>
          <w:szCs w:val="22"/>
        </w:rPr>
        <w:t>20872595.</w:t>
      </w:r>
    </w:p>
    <w:p w:rsidR="00872265" w:rsidRPr="003B4A5D" w:rsidRDefault="00A823F2" w:rsidP="00163CA0">
      <w:pPr>
        <w:spacing w:after="0"/>
        <w:ind w:left="720" w:hanging="720"/>
        <w:rPr>
          <w:rFonts w:ascii="Calibri" w:hAnsi="Calibri" w:cs="Calibri"/>
        </w:rPr>
      </w:pPr>
      <w:r w:rsidRPr="00D4178F">
        <w:rPr>
          <w:rFonts w:ascii="Calibri" w:hAnsi="Calibri" w:cs="Calibri"/>
          <w:b/>
        </w:rPr>
        <w:t>2.</w:t>
      </w:r>
      <w:r>
        <w:rPr>
          <w:rFonts w:ascii="Calibri" w:hAnsi="Calibri" w:cs="Calibri"/>
        </w:rPr>
        <w:t xml:space="preserve"> </w:t>
      </w:r>
      <w:r w:rsidR="00163CA0">
        <w:rPr>
          <w:rFonts w:ascii="Calibri" w:hAnsi="Calibri" w:cs="Calibri"/>
        </w:rPr>
        <w:tab/>
      </w:r>
      <w:r w:rsidR="00872265" w:rsidRPr="00F80D28">
        <w:rPr>
          <w:rFonts w:ascii="Calibri" w:hAnsi="Calibri" w:cs="Calibri"/>
        </w:rPr>
        <w:t xml:space="preserve">Yu S, Liao KP, Shaw SY, Gainer VS, Churchill SE, Szolovits P, Murphy SN, Kohane IS, Cai T. Toward high-throughput phenotyping: unbiased automated feature extraction and selection from knowledge sources. </w:t>
      </w:r>
      <w:r w:rsidR="00872265" w:rsidRPr="00F80D28">
        <w:rPr>
          <w:rFonts w:ascii="Calibri" w:hAnsi="Calibri" w:cs="Calibri"/>
          <w:i/>
        </w:rPr>
        <w:t xml:space="preserve">J Am Med Inform Assoc. </w:t>
      </w:r>
      <w:r w:rsidR="00872265" w:rsidRPr="00F80D28">
        <w:rPr>
          <w:rFonts w:ascii="Calibri" w:hAnsi="Calibri" w:cs="Calibri"/>
        </w:rPr>
        <w:t>Sep 2015;22(5):993-1000.</w:t>
      </w:r>
    </w:p>
    <w:p w:rsidR="00872265" w:rsidRPr="003B4A5D" w:rsidRDefault="00A823F2" w:rsidP="00872265">
      <w:pPr>
        <w:spacing w:after="0"/>
        <w:ind w:left="720" w:hanging="720"/>
        <w:rPr>
          <w:rFonts w:ascii="Calibri" w:hAnsi="Calibri" w:cs="Calibri"/>
        </w:rPr>
      </w:pPr>
      <w:r>
        <w:rPr>
          <w:rFonts w:ascii="Calibri" w:hAnsi="Calibri" w:cs="Calibri"/>
          <w:b/>
        </w:rPr>
        <w:t>3</w:t>
      </w:r>
      <w:r w:rsidR="00872265" w:rsidRPr="00F80D28">
        <w:rPr>
          <w:rFonts w:ascii="Calibri" w:hAnsi="Calibri" w:cs="Calibri"/>
          <w:b/>
        </w:rPr>
        <w:t>.</w:t>
      </w:r>
      <w:r w:rsidR="00163CA0">
        <w:rPr>
          <w:rFonts w:ascii="Calibri" w:hAnsi="Calibri" w:cs="Calibri"/>
          <w:b/>
        </w:rPr>
        <w:tab/>
      </w:r>
      <w:r w:rsidR="00872265" w:rsidRPr="00F80D28">
        <w:rPr>
          <w:rFonts w:ascii="Calibri" w:hAnsi="Calibri" w:cs="Calibri"/>
        </w:rPr>
        <w:t xml:space="preserve">Zou H. The Adaptive Lasso and Its Oracle Properties. </w:t>
      </w:r>
      <w:r w:rsidR="00872265" w:rsidRPr="00F80D28">
        <w:rPr>
          <w:rFonts w:ascii="Calibri" w:hAnsi="Calibri" w:cs="Calibri"/>
          <w:i/>
        </w:rPr>
        <w:t xml:space="preserve">Journal of the American Statistical Association. </w:t>
      </w:r>
      <w:r w:rsidR="00872265" w:rsidRPr="00F80D28">
        <w:rPr>
          <w:rFonts w:ascii="Calibri" w:hAnsi="Calibri" w:cs="Calibri"/>
        </w:rPr>
        <w:t>2014/10/15 2006;101(476):1418-1429.</w:t>
      </w:r>
    </w:p>
    <w:p w:rsidR="00872265" w:rsidRDefault="00A823F2" w:rsidP="00872265">
      <w:pPr>
        <w:spacing w:after="0"/>
        <w:ind w:left="720" w:hanging="720"/>
        <w:rPr>
          <w:rFonts w:ascii="Calibri" w:hAnsi="Calibri" w:cs="Calibri"/>
        </w:rPr>
      </w:pPr>
      <w:r>
        <w:rPr>
          <w:rFonts w:ascii="Calibri" w:hAnsi="Calibri" w:cs="Calibri"/>
          <w:b/>
        </w:rPr>
        <w:t>4</w:t>
      </w:r>
      <w:r w:rsidR="00163CA0">
        <w:rPr>
          <w:rFonts w:ascii="Calibri" w:hAnsi="Calibri" w:cs="Calibri"/>
          <w:b/>
        </w:rPr>
        <w:t xml:space="preserve">. </w:t>
      </w:r>
      <w:r w:rsidR="00163CA0">
        <w:rPr>
          <w:rFonts w:ascii="Calibri" w:hAnsi="Calibri" w:cs="Calibri"/>
          <w:b/>
        </w:rPr>
        <w:tab/>
      </w:r>
      <w:r w:rsidR="00163CA0">
        <w:rPr>
          <w:rFonts w:ascii="Calibri" w:hAnsi="Calibri" w:cs="Calibri"/>
          <w:b/>
        </w:rPr>
        <w:tab/>
      </w:r>
      <w:r w:rsidR="00872265" w:rsidRPr="00F80D28">
        <w:rPr>
          <w:rFonts w:ascii="Calibri" w:hAnsi="Calibri" w:cs="Calibri"/>
        </w:rPr>
        <w:t xml:space="preserve">Zhang HH, Lu W. Adaptive Lasso for Cox's proportional hazards model. </w:t>
      </w:r>
      <w:r w:rsidR="00872265" w:rsidRPr="00F80D28">
        <w:rPr>
          <w:rFonts w:ascii="Calibri" w:hAnsi="Calibri" w:cs="Calibri"/>
          <w:i/>
        </w:rPr>
        <w:t xml:space="preserve">Biometrika. </w:t>
      </w:r>
      <w:r w:rsidR="00872265" w:rsidRPr="00F80D28">
        <w:rPr>
          <w:rFonts w:ascii="Calibri" w:hAnsi="Calibri" w:cs="Calibri"/>
        </w:rPr>
        <w:t>2007;94(3):691-703.</w:t>
      </w:r>
    </w:p>
    <w:p w:rsidR="009F54C3" w:rsidRDefault="009F54C3" w:rsidP="00872265">
      <w:pPr>
        <w:spacing w:after="0"/>
        <w:ind w:left="720" w:hanging="720"/>
        <w:rPr>
          <w:rFonts w:ascii="Calibri" w:hAnsi="Calibri" w:cs="Calibri"/>
        </w:rPr>
      </w:pPr>
      <w:r>
        <w:rPr>
          <w:rFonts w:ascii="Calibri" w:hAnsi="Calibri" w:cs="Calibri"/>
        </w:rPr>
        <w:t>5.</w:t>
      </w:r>
      <w:r>
        <w:rPr>
          <w:rFonts w:ascii="Calibri" w:hAnsi="Calibri" w:cs="Calibri"/>
        </w:rPr>
        <w:tab/>
      </w:r>
      <w:r w:rsidRPr="008F5A19">
        <w:rPr>
          <w:bCs/>
        </w:rPr>
        <w:t xml:space="preserve">Carroll RJ, Thompson WK, Eyler AE, Mandelin AM, Cai T, Zink RM, Pacheco JA, Boomershine CS, Lasko TA, Xu H, </w:t>
      </w:r>
      <w:r w:rsidRPr="009F54C3">
        <w:rPr>
          <w:bCs/>
        </w:rPr>
        <w:t>Karlson EW</w:t>
      </w:r>
      <w:r w:rsidRPr="008F5A19">
        <w:rPr>
          <w:bCs/>
        </w:rPr>
        <w:t>, Perez RG, Gainer VS, Murphy SN, Ruderman EM, Pope RM, Plenge RM, Kho AN, Liao KP, Denny JC. Portability of an algorithm to identify rheumatoid arthritis in electronic health records. J Am Med Inform Assoc. 2012 Jun;19(e1):e162-9. Epub 2012 Feb 28. PubMed PMID: 22374935</w:t>
      </w:r>
      <w:r w:rsidR="00F31660">
        <w:rPr>
          <w:bCs/>
        </w:rPr>
        <w:t>.</w:t>
      </w:r>
    </w:p>
    <w:p w:rsidR="002F7B8C" w:rsidRPr="003B4A5D" w:rsidRDefault="002F7B8C" w:rsidP="00872265">
      <w:pPr>
        <w:spacing w:after="0"/>
        <w:ind w:left="720" w:hanging="720"/>
        <w:rPr>
          <w:rFonts w:ascii="Calibri" w:hAnsi="Calibri" w:cs="Calibri"/>
        </w:rPr>
      </w:pPr>
    </w:p>
    <w:p w:rsidR="00872265" w:rsidRDefault="00872265" w:rsidP="00872265">
      <w:pPr>
        <w:spacing w:after="0"/>
        <w:ind w:left="0"/>
        <w:rPr>
          <w:rFonts w:ascii="Calibri" w:hAnsi="Calibri" w:cs="Calibri"/>
        </w:rPr>
      </w:pPr>
    </w:p>
    <w:p w:rsidR="00F95723" w:rsidRDefault="00CA76F6" w:rsidP="00D017B9">
      <w:pPr>
        <w:pStyle w:val="Heading1"/>
        <w:numPr>
          <w:ilvl w:val="0"/>
          <w:numId w:val="0"/>
        </w:numPr>
        <w:ind w:left="900"/>
      </w:pPr>
      <w:r>
        <w:lastRenderedPageBreak/>
        <w:fldChar w:fldCharType="end"/>
      </w:r>
      <w:r w:rsidR="00D017B9">
        <w:t>Appendix: Chart Review Guidelines</w:t>
      </w:r>
    </w:p>
    <w:p w:rsidR="00E7112E" w:rsidRDefault="00E7112E" w:rsidP="00E7112E">
      <w:pPr>
        <w:pStyle w:val="Heading2"/>
      </w:pPr>
      <w:bookmarkStart w:id="9" w:name="_Toc489348581"/>
      <w:r>
        <w:t>Chart review</w:t>
      </w:r>
      <w:r w:rsidR="00CA5609">
        <w:t xml:space="preserve"> Guidelines</w:t>
      </w:r>
      <w:r w:rsidR="00FE5B61">
        <w:t xml:space="preserve"> </w:t>
      </w:r>
      <w:bookmarkEnd w:id="9"/>
    </w:p>
    <w:p w:rsidR="00CA5609" w:rsidRDefault="00966059" w:rsidP="00CA5609">
      <w:r>
        <w:t xml:space="preserve">The secondary validation site </w:t>
      </w:r>
      <w:r w:rsidR="004D1A6C">
        <w:t>(Vanderbilt) applied</w:t>
      </w:r>
      <w:r>
        <w:t xml:space="preserve"> the </w:t>
      </w:r>
      <w:r w:rsidR="00D017B9">
        <w:t xml:space="preserve">RA </w:t>
      </w:r>
      <w:r>
        <w:t>algorithm to a previously defined set of RA cases and non-cases based on prior chart reviews</w:t>
      </w:r>
      <w:r w:rsidR="00D017B9">
        <w:t xml:space="preserve"> for the Arnett ACR Classification Criteria for RA</w:t>
      </w:r>
      <w:r>
        <w:t xml:space="preserve">.  </w:t>
      </w:r>
      <w:r w:rsidR="004D1A6C">
        <w:t>If implementation sites wish to verify the performa</w:t>
      </w:r>
      <w:r w:rsidR="00D017B9">
        <w:t>nce of the algorithm in their o</w:t>
      </w:r>
      <w:r w:rsidR="004D1A6C">
        <w:t>w</w:t>
      </w:r>
      <w:r w:rsidR="00D017B9">
        <w:t>n</w:t>
      </w:r>
      <w:r w:rsidR="004D1A6C">
        <w:t xml:space="preserve"> dataset, </w:t>
      </w:r>
      <w:r>
        <w:t xml:space="preserve"> ideally, c</w:t>
      </w:r>
      <w:r w:rsidR="00077EE5">
        <w:t xml:space="preserve">harts for 50 cases </w:t>
      </w:r>
      <w:r>
        <w:t xml:space="preserve">defined by the algorithm </w:t>
      </w:r>
      <w:r w:rsidR="00077EE5">
        <w:t xml:space="preserve">should be reviewed using </w:t>
      </w:r>
      <w:r w:rsidR="009715BB">
        <w:t xml:space="preserve">the ACR/EULAR 2010 Classification Criteria for </w:t>
      </w:r>
      <w:r w:rsidR="006D387B">
        <w:t>rheumatoid a</w:t>
      </w:r>
      <w:r w:rsidR="00CA5609" w:rsidRPr="00A571AF">
        <w:t>rthritis (RA)</w:t>
      </w:r>
      <w:r w:rsidR="00776E3E" w:rsidRPr="00776E3E">
        <w:rPr>
          <w:vertAlign w:val="superscript"/>
        </w:rPr>
        <w:t>1</w:t>
      </w:r>
      <w:r>
        <w:t xml:space="preserve"> </w:t>
      </w:r>
      <w:r w:rsidR="00776E3E">
        <w:t>a</w:t>
      </w:r>
      <w:r>
        <w:t>nd 50 controls should be reviewed for absence of RA classification criteria.</w:t>
      </w:r>
    </w:p>
    <w:p w:rsidR="00D017B9" w:rsidRPr="00D017B9" w:rsidRDefault="00D017B9" w:rsidP="00CA5609">
      <w:pPr>
        <w:rPr>
          <w:b/>
        </w:rPr>
      </w:pPr>
      <w:r>
        <w:rPr>
          <w:b/>
        </w:rPr>
        <w:t>Control chart review criteria:</w:t>
      </w:r>
    </w:p>
    <w:p w:rsidR="00D017B9" w:rsidRDefault="0000658C" w:rsidP="00D017B9">
      <w:pPr>
        <w:pStyle w:val="ListParagraph"/>
        <w:numPr>
          <w:ilvl w:val="0"/>
          <w:numId w:val="18"/>
        </w:numPr>
      </w:pPr>
      <w:r>
        <w:t xml:space="preserve">If no mention of rheumatoid arthritis </w:t>
      </w:r>
      <w:r w:rsidR="006D387B">
        <w:t xml:space="preserve">is </w:t>
      </w:r>
      <w:r>
        <w:t>in clinic notes as a possible diagnosis</w:t>
      </w:r>
      <w:r w:rsidR="006D387B">
        <w:t xml:space="preserve"> - </w:t>
      </w:r>
      <w:r>
        <w:t xml:space="preserve"> classify as N</w:t>
      </w:r>
      <w:r w:rsidR="006D387B">
        <w:t>o</w:t>
      </w:r>
      <w:r>
        <w:t>.</w:t>
      </w:r>
    </w:p>
    <w:p w:rsidR="00830910" w:rsidRPr="006D387B" w:rsidRDefault="0000658C" w:rsidP="00D017B9">
      <w:pPr>
        <w:pStyle w:val="ListParagraph"/>
        <w:numPr>
          <w:ilvl w:val="0"/>
          <w:numId w:val="18"/>
        </w:numPr>
      </w:pPr>
      <w:r>
        <w:t>Then if no evid</w:t>
      </w:r>
      <w:r w:rsidR="006D387B">
        <w:t xml:space="preserve">ence of synovitis (swelling) of </w:t>
      </w:r>
      <w:r>
        <w:t>a</w:t>
      </w:r>
      <w:r w:rsidR="006D387B">
        <w:t>t</w:t>
      </w:r>
      <w:r>
        <w:t xml:space="preserve"> least one joint – classify as N</w:t>
      </w:r>
      <w:r w:rsidR="006D387B">
        <w:t>o</w:t>
      </w:r>
      <w:r>
        <w:t>.</w:t>
      </w:r>
    </w:p>
    <w:p w:rsidR="00966059" w:rsidRPr="00966059" w:rsidRDefault="00D017B9" w:rsidP="00D017B9">
      <w:pPr>
        <w:rPr>
          <w:b/>
        </w:rPr>
      </w:pPr>
      <w:r>
        <w:rPr>
          <w:b/>
        </w:rPr>
        <w:t xml:space="preserve">Case chart review criteria: </w:t>
      </w:r>
      <w:r w:rsidR="00966059" w:rsidRPr="00966059">
        <w:rPr>
          <w:b/>
        </w:rPr>
        <w:t>2010 ACR/EULAR CLASSIFICATION CRITERIA FOR RA</w:t>
      </w:r>
    </w:p>
    <w:p w:rsidR="00830910" w:rsidRDefault="00830910" w:rsidP="00CA5609">
      <w:r>
        <w:rPr>
          <w:b/>
          <w:u w:val="single"/>
        </w:rPr>
        <w:t>Target Population</w:t>
      </w:r>
      <w:r>
        <w:t xml:space="preserve"> </w:t>
      </w:r>
      <w:r w:rsidR="006D387B">
        <w:t>(</w:t>
      </w:r>
      <w:r w:rsidRPr="00830910">
        <w:t>Patient</w:t>
      </w:r>
      <w:r w:rsidR="006D387B">
        <w:t>s</w:t>
      </w:r>
      <w:r>
        <w:t xml:space="preserve"> who</w:t>
      </w:r>
      <w:r w:rsidR="006D387B">
        <w:t>);</w:t>
      </w:r>
    </w:p>
    <w:p w:rsidR="00830910" w:rsidRDefault="00830910" w:rsidP="00830910">
      <w:pPr>
        <w:pStyle w:val="ListParagraph"/>
        <w:numPr>
          <w:ilvl w:val="0"/>
          <w:numId w:val="19"/>
        </w:numPr>
      </w:pPr>
      <w:r>
        <w:t>Have at least 1 joint with definite clinical synovitis (swelling)*</w:t>
      </w:r>
    </w:p>
    <w:p w:rsidR="00830910" w:rsidRDefault="00830910" w:rsidP="006D387B">
      <w:pPr>
        <w:pStyle w:val="ListParagraph"/>
        <w:numPr>
          <w:ilvl w:val="0"/>
          <w:numId w:val="19"/>
        </w:numPr>
      </w:pPr>
      <w:r>
        <w:t>With the synovitis not better explained by another disease</w:t>
      </w:r>
      <w:r w:rsidR="004D1A6C">
        <w:rPr>
          <w:rFonts w:ascii="Dutch801BT-Roman" w:eastAsia="Dutch801BT-Roman" w:hAnsi="Dutch801BT-Bold" w:cs="Dutch801BT-Roman" w:hint="eastAsia"/>
          <w:color w:val="231F20"/>
          <w:sz w:val="16"/>
          <w:szCs w:val="16"/>
        </w:rPr>
        <w:t>†</w:t>
      </w:r>
    </w:p>
    <w:p w:rsidR="006D387B" w:rsidRDefault="00830910" w:rsidP="00716C1B">
      <w:r>
        <w:t xml:space="preserve">For </w:t>
      </w:r>
      <w:r w:rsidR="006D387B">
        <w:t>patients</w:t>
      </w:r>
      <w:r>
        <w:t xml:space="preserve"> who meet the target population criteria, assess for joint involvement in MCPs, PIPs, wrists, MTPs (small joints), knees, elbows, ankles, shoulders, hips (large joints). Note ACPA means anti-CCP antibodies.</w:t>
      </w:r>
    </w:p>
    <w:p w:rsidR="00830910" w:rsidRDefault="00830910" w:rsidP="00CA5609">
      <w:r w:rsidRPr="00716C1B">
        <w:rPr>
          <w:b/>
        </w:rPr>
        <w:t>Classification criteria</w:t>
      </w:r>
      <w:r>
        <w:t xml:space="preserve"> for RA (score-based algorithm: </w:t>
      </w:r>
      <w:r w:rsidRPr="00716C1B">
        <w:rPr>
          <w:b/>
        </w:rPr>
        <w:t>add score of categories A-D</w:t>
      </w:r>
      <w:r>
        <w:t>;</w:t>
      </w:r>
    </w:p>
    <w:p w:rsidR="00830910" w:rsidRPr="00830910" w:rsidRDefault="00077EE5" w:rsidP="006D387B">
      <w:r>
        <w:t xml:space="preserve">A </w:t>
      </w:r>
      <w:r w:rsidR="00830910">
        <w:t>score of 6/10 is needed for classification of a patient as having definite RA)</w:t>
      </w:r>
      <w:r w:rsidR="00830910" w:rsidRPr="00830910">
        <w:rPr>
          <w:rFonts w:ascii="Dutch801BT-Roman" w:hAnsi="Dutch801BT-Roman"/>
          <w:color w:val="221E1F"/>
          <w:sz w:val="16"/>
          <w:szCs w:val="16"/>
        </w:rPr>
        <w:t xml:space="preserve"> </w:t>
      </w:r>
      <w:r w:rsidR="00830910">
        <w:rPr>
          <w:rFonts w:ascii="Dutch801BT-Roman" w:hAnsi="Dutch801BT-Roman"/>
          <w:color w:val="221E1F"/>
          <w:sz w:val="16"/>
          <w:szCs w:val="16"/>
        </w:rPr>
        <w:t>‡</w:t>
      </w:r>
    </w:p>
    <w:tbl>
      <w:tblPr>
        <w:tblStyle w:val="TableGrid"/>
        <w:tblW w:w="9270" w:type="dxa"/>
        <w:tblInd w:w="265" w:type="dxa"/>
        <w:tblLook w:val="04A0" w:firstRow="1" w:lastRow="0" w:firstColumn="1" w:lastColumn="0" w:noHBand="0" w:noVBand="1"/>
      </w:tblPr>
      <w:tblGrid>
        <w:gridCol w:w="7650"/>
        <w:gridCol w:w="1620"/>
      </w:tblGrid>
      <w:tr w:rsidR="007315EB" w:rsidTr="00196B48">
        <w:trPr>
          <w:trHeight w:val="368"/>
        </w:trPr>
        <w:tc>
          <w:tcPr>
            <w:tcW w:w="7650" w:type="dxa"/>
            <w:shd w:val="clear" w:color="auto" w:fill="F2F2F2" w:themeFill="background1" w:themeFillShade="F2"/>
          </w:tcPr>
          <w:p w:rsidR="007315EB" w:rsidRPr="006D387B" w:rsidRDefault="007315EB" w:rsidP="007315EB">
            <w:pPr>
              <w:pStyle w:val="ListParagraph"/>
              <w:numPr>
                <w:ilvl w:val="0"/>
                <w:numId w:val="24"/>
              </w:numPr>
              <w:rPr>
                <w:b/>
              </w:rPr>
            </w:pPr>
            <w:r w:rsidRPr="006D387B">
              <w:rPr>
                <w:b/>
              </w:rPr>
              <w:t>Join</w:t>
            </w:r>
            <w:r w:rsidR="006D387B">
              <w:rPr>
                <w:b/>
              </w:rPr>
              <w:t>t</w:t>
            </w:r>
            <w:r w:rsidRPr="006D387B">
              <w:rPr>
                <w:b/>
              </w:rPr>
              <w:t xml:space="preserve"> Involvement</w:t>
            </w:r>
            <w:r w:rsidR="00196B48">
              <w:rPr>
                <w:rFonts w:ascii="Dutch801BT-Roman" w:eastAsia="Dutch801BT-Roman" w:hAnsi="Dutch801BT-Bold" w:cs="Dutch801BT-Roman" w:hint="eastAsia"/>
                <w:color w:val="231F20"/>
                <w:sz w:val="16"/>
                <w:szCs w:val="16"/>
              </w:rPr>
              <w:t>§</w:t>
            </w:r>
          </w:p>
        </w:tc>
        <w:tc>
          <w:tcPr>
            <w:tcW w:w="1620" w:type="dxa"/>
            <w:shd w:val="clear" w:color="auto" w:fill="F2F2F2" w:themeFill="background1" w:themeFillShade="F2"/>
          </w:tcPr>
          <w:p w:rsidR="007315EB" w:rsidRPr="00716C1B" w:rsidRDefault="007315EB" w:rsidP="007315EB">
            <w:pPr>
              <w:ind w:left="0"/>
              <w:jc w:val="center"/>
              <w:rPr>
                <w:b/>
              </w:rPr>
            </w:pPr>
            <w:r w:rsidRPr="00716C1B">
              <w:rPr>
                <w:b/>
              </w:rPr>
              <w:t>Points</w:t>
            </w:r>
          </w:p>
        </w:tc>
      </w:tr>
      <w:tr w:rsidR="007315EB" w:rsidTr="00196B48">
        <w:trPr>
          <w:trHeight w:val="58"/>
        </w:trPr>
        <w:tc>
          <w:tcPr>
            <w:tcW w:w="7650" w:type="dxa"/>
          </w:tcPr>
          <w:p w:rsidR="007315EB" w:rsidRPr="007315EB" w:rsidRDefault="007315EB" w:rsidP="007315EB">
            <w:pPr>
              <w:ind w:left="720"/>
              <w:rPr>
                <w:sz w:val="18"/>
                <w:szCs w:val="18"/>
              </w:rPr>
            </w:pPr>
            <w:r w:rsidRPr="007315EB">
              <w:rPr>
                <w:sz w:val="18"/>
                <w:szCs w:val="18"/>
              </w:rPr>
              <w:t>1 large joint</w:t>
            </w:r>
            <w:r w:rsidR="00196B48">
              <w:rPr>
                <w:rFonts w:ascii="Arial Unicode MS" w:eastAsia="Arial Unicode MS" w:hAnsi="Arial Unicode MS" w:cs="Arial Unicode MS" w:hint="eastAsia"/>
                <w:sz w:val="18"/>
                <w:szCs w:val="18"/>
              </w:rPr>
              <w:t>¶</w:t>
            </w:r>
          </w:p>
        </w:tc>
        <w:tc>
          <w:tcPr>
            <w:tcW w:w="1620" w:type="dxa"/>
          </w:tcPr>
          <w:p w:rsidR="007315EB" w:rsidRPr="007315EB" w:rsidRDefault="007315EB" w:rsidP="007315EB">
            <w:pPr>
              <w:ind w:left="0"/>
              <w:jc w:val="center"/>
              <w:rPr>
                <w:sz w:val="18"/>
                <w:szCs w:val="18"/>
              </w:rPr>
            </w:pPr>
            <w:r w:rsidRPr="007315EB">
              <w:rPr>
                <w:sz w:val="18"/>
                <w:szCs w:val="18"/>
              </w:rPr>
              <w:t>0</w:t>
            </w:r>
          </w:p>
        </w:tc>
      </w:tr>
      <w:tr w:rsidR="007315EB" w:rsidTr="00196B48">
        <w:trPr>
          <w:trHeight w:val="58"/>
        </w:trPr>
        <w:tc>
          <w:tcPr>
            <w:tcW w:w="7650" w:type="dxa"/>
          </w:tcPr>
          <w:p w:rsidR="007315EB" w:rsidRPr="007315EB" w:rsidRDefault="00716C1B" w:rsidP="007315EB">
            <w:pPr>
              <w:ind w:left="720"/>
              <w:rPr>
                <w:sz w:val="18"/>
                <w:szCs w:val="18"/>
              </w:rPr>
            </w:pPr>
            <w:r>
              <w:rPr>
                <w:sz w:val="18"/>
                <w:szCs w:val="18"/>
              </w:rPr>
              <w:t>2-</w:t>
            </w:r>
            <w:r w:rsidR="007315EB" w:rsidRPr="007315EB">
              <w:rPr>
                <w:sz w:val="18"/>
                <w:szCs w:val="18"/>
              </w:rPr>
              <w:t>10 large joints</w:t>
            </w:r>
          </w:p>
        </w:tc>
        <w:tc>
          <w:tcPr>
            <w:tcW w:w="1620" w:type="dxa"/>
          </w:tcPr>
          <w:p w:rsidR="007315EB" w:rsidRPr="007315EB" w:rsidRDefault="007315EB" w:rsidP="007315EB">
            <w:pPr>
              <w:ind w:left="0"/>
              <w:jc w:val="center"/>
              <w:rPr>
                <w:sz w:val="18"/>
                <w:szCs w:val="18"/>
              </w:rPr>
            </w:pPr>
            <w:r w:rsidRPr="007315EB">
              <w:rPr>
                <w:sz w:val="18"/>
                <w:szCs w:val="18"/>
              </w:rPr>
              <w:t>1</w:t>
            </w:r>
          </w:p>
        </w:tc>
      </w:tr>
      <w:tr w:rsidR="007315EB" w:rsidTr="00196B48">
        <w:trPr>
          <w:trHeight w:val="206"/>
        </w:trPr>
        <w:tc>
          <w:tcPr>
            <w:tcW w:w="7650" w:type="dxa"/>
          </w:tcPr>
          <w:p w:rsidR="007315EB" w:rsidRPr="007315EB" w:rsidRDefault="00716C1B" w:rsidP="007315EB">
            <w:pPr>
              <w:ind w:left="720"/>
              <w:rPr>
                <w:sz w:val="18"/>
                <w:szCs w:val="18"/>
              </w:rPr>
            </w:pPr>
            <w:r>
              <w:rPr>
                <w:sz w:val="18"/>
                <w:szCs w:val="18"/>
              </w:rPr>
              <w:t>1-</w:t>
            </w:r>
            <w:r w:rsidR="007315EB" w:rsidRPr="007315EB">
              <w:rPr>
                <w:sz w:val="18"/>
                <w:szCs w:val="18"/>
              </w:rPr>
              <w:t>3 small joints (with or without involvement of large joints)#</w:t>
            </w:r>
          </w:p>
        </w:tc>
        <w:tc>
          <w:tcPr>
            <w:tcW w:w="1620" w:type="dxa"/>
          </w:tcPr>
          <w:p w:rsidR="007315EB" w:rsidRPr="007315EB" w:rsidRDefault="007315EB" w:rsidP="007315EB">
            <w:pPr>
              <w:ind w:left="0"/>
              <w:jc w:val="center"/>
              <w:rPr>
                <w:sz w:val="18"/>
                <w:szCs w:val="18"/>
              </w:rPr>
            </w:pPr>
            <w:r w:rsidRPr="007315EB">
              <w:rPr>
                <w:sz w:val="18"/>
                <w:szCs w:val="18"/>
              </w:rPr>
              <w:t>2</w:t>
            </w:r>
          </w:p>
        </w:tc>
      </w:tr>
      <w:tr w:rsidR="007315EB" w:rsidTr="00196B48">
        <w:trPr>
          <w:trHeight w:val="188"/>
        </w:trPr>
        <w:tc>
          <w:tcPr>
            <w:tcW w:w="7650" w:type="dxa"/>
          </w:tcPr>
          <w:p w:rsidR="007315EB" w:rsidRPr="007315EB" w:rsidRDefault="00716C1B" w:rsidP="007315EB">
            <w:pPr>
              <w:ind w:left="720"/>
              <w:rPr>
                <w:sz w:val="18"/>
                <w:szCs w:val="18"/>
              </w:rPr>
            </w:pPr>
            <w:r>
              <w:rPr>
                <w:sz w:val="18"/>
                <w:szCs w:val="18"/>
              </w:rPr>
              <w:t>4-</w:t>
            </w:r>
            <w:r w:rsidR="007315EB" w:rsidRPr="007315EB">
              <w:rPr>
                <w:sz w:val="18"/>
                <w:szCs w:val="18"/>
              </w:rPr>
              <w:t>10 small joints (with or without involvement of large joints)</w:t>
            </w:r>
          </w:p>
        </w:tc>
        <w:tc>
          <w:tcPr>
            <w:tcW w:w="1620" w:type="dxa"/>
          </w:tcPr>
          <w:p w:rsidR="007315EB" w:rsidRPr="007315EB" w:rsidRDefault="007315EB" w:rsidP="007315EB">
            <w:pPr>
              <w:ind w:left="0"/>
              <w:jc w:val="center"/>
              <w:rPr>
                <w:sz w:val="18"/>
                <w:szCs w:val="18"/>
              </w:rPr>
            </w:pPr>
            <w:r w:rsidRPr="007315EB">
              <w:rPr>
                <w:sz w:val="18"/>
                <w:szCs w:val="18"/>
              </w:rPr>
              <w:t>3</w:t>
            </w:r>
          </w:p>
        </w:tc>
      </w:tr>
      <w:tr w:rsidR="007315EB" w:rsidTr="00196B48">
        <w:trPr>
          <w:trHeight w:val="269"/>
        </w:trPr>
        <w:tc>
          <w:tcPr>
            <w:tcW w:w="7650" w:type="dxa"/>
          </w:tcPr>
          <w:p w:rsidR="007315EB" w:rsidRPr="007315EB" w:rsidRDefault="007315EB" w:rsidP="007315EB">
            <w:pPr>
              <w:ind w:left="720"/>
              <w:rPr>
                <w:sz w:val="18"/>
                <w:szCs w:val="18"/>
              </w:rPr>
            </w:pPr>
            <w:r w:rsidRPr="007315EB">
              <w:rPr>
                <w:sz w:val="18"/>
                <w:szCs w:val="18"/>
              </w:rPr>
              <w:t>&gt;10 joints (at least 1 small joint)**</w:t>
            </w:r>
          </w:p>
        </w:tc>
        <w:tc>
          <w:tcPr>
            <w:tcW w:w="1620" w:type="dxa"/>
          </w:tcPr>
          <w:p w:rsidR="007315EB" w:rsidRPr="007315EB" w:rsidRDefault="007315EB" w:rsidP="007315EB">
            <w:pPr>
              <w:ind w:left="0"/>
              <w:jc w:val="center"/>
              <w:rPr>
                <w:sz w:val="18"/>
                <w:szCs w:val="18"/>
              </w:rPr>
            </w:pPr>
            <w:r w:rsidRPr="007315EB">
              <w:rPr>
                <w:sz w:val="18"/>
                <w:szCs w:val="18"/>
              </w:rPr>
              <w:t>5</w:t>
            </w:r>
          </w:p>
        </w:tc>
      </w:tr>
      <w:tr w:rsidR="007315EB" w:rsidRPr="006D387B" w:rsidTr="00196B48">
        <w:trPr>
          <w:trHeight w:val="251"/>
        </w:trPr>
        <w:tc>
          <w:tcPr>
            <w:tcW w:w="7650" w:type="dxa"/>
            <w:shd w:val="clear" w:color="auto" w:fill="F2F2F2" w:themeFill="background1" w:themeFillShade="F2"/>
          </w:tcPr>
          <w:p w:rsidR="007315EB" w:rsidRPr="006D387B" w:rsidRDefault="007315EB" w:rsidP="007315EB">
            <w:pPr>
              <w:pStyle w:val="ListParagraph"/>
              <w:numPr>
                <w:ilvl w:val="0"/>
                <w:numId w:val="24"/>
              </w:numPr>
              <w:rPr>
                <w:b/>
                <w:szCs w:val="22"/>
              </w:rPr>
            </w:pPr>
            <w:r w:rsidRPr="006D387B">
              <w:rPr>
                <w:b/>
                <w:color w:val="000000"/>
                <w:szCs w:val="22"/>
              </w:rPr>
              <w:t>Serology (at least 1 test result is needed for classification)</w:t>
            </w:r>
            <w:r w:rsidRPr="006D387B">
              <w:rPr>
                <w:b/>
                <w:color w:val="221E1F"/>
                <w:szCs w:val="22"/>
              </w:rPr>
              <w:t xml:space="preserve"> ††</w:t>
            </w:r>
          </w:p>
        </w:tc>
        <w:tc>
          <w:tcPr>
            <w:tcW w:w="1620" w:type="dxa"/>
            <w:shd w:val="clear" w:color="auto" w:fill="F2F2F2" w:themeFill="background1" w:themeFillShade="F2"/>
          </w:tcPr>
          <w:p w:rsidR="007315EB" w:rsidRPr="006D387B" w:rsidRDefault="006D387B" w:rsidP="007315EB">
            <w:pPr>
              <w:ind w:left="0"/>
              <w:jc w:val="center"/>
              <w:rPr>
                <w:szCs w:val="22"/>
              </w:rPr>
            </w:pPr>
            <w:r>
              <w:rPr>
                <w:szCs w:val="22"/>
              </w:rPr>
              <w:t>-</w:t>
            </w:r>
          </w:p>
        </w:tc>
      </w:tr>
      <w:tr w:rsidR="006D387B" w:rsidTr="00196B48">
        <w:trPr>
          <w:trHeight w:val="215"/>
        </w:trPr>
        <w:tc>
          <w:tcPr>
            <w:tcW w:w="7650" w:type="dxa"/>
          </w:tcPr>
          <w:p w:rsidR="006D387B" w:rsidRPr="006D387B" w:rsidRDefault="006D387B" w:rsidP="006D387B">
            <w:pPr>
              <w:ind w:left="720"/>
              <w:rPr>
                <w:color w:val="000000"/>
              </w:rPr>
            </w:pPr>
            <w:r w:rsidRPr="007315EB">
              <w:rPr>
                <w:sz w:val="18"/>
                <w:szCs w:val="18"/>
              </w:rPr>
              <w:t>Negative RF and negative ACPA</w:t>
            </w:r>
          </w:p>
        </w:tc>
        <w:tc>
          <w:tcPr>
            <w:tcW w:w="1620" w:type="dxa"/>
          </w:tcPr>
          <w:p w:rsidR="006D387B" w:rsidRPr="007315EB" w:rsidRDefault="006D387B" w:rsidP="006D387B">
            <w:pPr>
              <w:ind w:left="0"/>
              <w:jc w:val="center"/>
              <w:rPr>
                <w:sz w:val="18"/>
                <w:szCs w:val="18"/>
              </w:rPr>
            </w:pPr>
            <w:r w:rsidRPr="007315EB">
              <w:rPr>
                <w:sz w:val="18"/>
                <w:szCs w:val="18"/>
              </w:rPr>
              <w:t>0</w:t>
            </w:r>
          </w:p>
        </w:tc>
      </w:tr>
      <w:tr w:rsidR="006D387B" w:rsidTr="00196B48">
        <w:trPr>
          <w:trHeight w:val="197"/>
        </w:trPr>
        <w:tc>
          <w:tcPr>
            <w:tcW w:w="7650" w:type="dxa"/>
          </w:tcPr>
          <w:p w:rsidR="006D387B" w:rsidRPr="007315EB" w:rsidRDefault="006D387B" w:rsidP="006D387B">
            <w:pPr>
              <w:ind w:left="720"/>
              <w:rPr>
                <w:sz w:val="18"/>
                <w:szCs w:val="18"/>
              </w:rPr>
            </w:pPr>
            <w:r w:rsidRPr="007315EB">
              <w:rPr>
                <w:sz w:val="18"/>
                <w:szCs w:val="18"/>
              </w:rPr>
              <w:t>Low-positive RF or low-positive ACPA</w:t>
            </w:r>
          </w:p>
        </w:tc>
        <w:tc>
          <w:tcPr>
            <w:tcW w:w="1620" w:type="dxa"/>
          </w:tcPr>
          <w:p w:rsidR="006D387B" w:rsidRPr="007315EB" w:rsidRDefault="006D387B" w:rsidP="006D387B">
            <w:pPr>
              <w:ind w:left="0"/>
              <w:jc w:val="center"/>
              <w:rPr>
                <w:sz w:val="18"/>
                <w:szCs w:val="18"/>
              </w:rPr>
            </w:pPr>
            <w:r w:rsidRPr="007315EB">
              <w:rPr>
                <w:sz w:val="18"/>
                <w:szCs w:val="18"/>
              </w:rPr>
              <w:t>2</w:t>
            </w:r>
          </w:p>
        </w:tc>
      </w:tr>
      <w:tr w:rsidR="006D387B" w:rsidRPr="006D387B" w:rsidTr="00196B48">
        <w:trPr>
          <w:trHeight w:val="89"/>
        </w:trPr>
        <w:tc>
          <w:tcPr>
            <w:tcW w:w="7650" w:type="dxa"/>
          </w:tcPr>
          <w:p w:rsidR="006D387B" w:rsidRPr="006D387B" w:rsidRDefault="006D387B" w:rsidP="006D387B">
            <w:pPr>
              <w:ind w:left="720"/>
              <w:rPr>
                <w:sz w:val="18"/>
                <w:szCs w:val="18"/>
              </w:rPr>
            </w:pPr>
            <w:r w:rsidRPr="006D387B">
              <w:rPr>
                <w:sz w:val="18"/>
                <w:szCs w:val="18"/>
              </w:rPr>
              <w:t>High-positive RF or high-positive ACPA</w:t>
            </w:r>
          </w:p>
        </w:tc>
        <w:tc>
          <w:tcPr>
            <w:tcW w:w="1620" w:type="dxa"/>
          </w:tcPr>
          <w:p w:rsidR="006D387B" w:rsidRPr="006D387B" w:rsidRDefault="006D387B" w:rsidP="006D387B">
            <w:pPr>
              <w:ind w:left="0"/>
              <w:jc w:val="center"/>
              <w:rPr>
                <w:sz w:val="18"/>
                <w:szCs w:val="18"/>
              </w:rPr>
            </w:pPr>
            <w:r w:rsidRPr="006D387B">
              <w:rPr>
                <w:sz w:val="18"/>
                <w:szCs w:val="18"/>
              </w:rPr>
              <w:t>3</w:t>
            </w:r>
          </w:p>
        </w:tc>
      </w:tr>
      <w:tr w:rsidR="006D387B" w:rsidRPr="006D387B" w:rsidTr="00196B48">
        <w:trPr>
          <w:trHeight w:val="251"/>
        </w:trPr>
        <w:tc>
          <w:tcPr>
            <w:tcW w:w="7650" w:type="dxa"/>
            <w:shd w:val="clear" w:color="auto" w:fill="F2F2F2" w:themeFill="background1" w:themeFillShade="F2"/>
          </w:tcPr>
          <w:p w:rsidR="006D387B" w:rsidRPr="006D387B" w:rsidRDefault="006D387B" w:rsidP="006D387B">
            <w:pPr>
              <w:pStyle w:val="ListParagraph"/>
              <w:numPr>
                <w:ilvl w:val="0"/>
                <w:numId w:val="24"/>
              </w:numPr>
              <w:rPr>
                <w:b/>
                <w:color w:val="000000"/>
              </w:rPr>
            </w:pPr>
            <w:r w:rsidRPr="006D387B">
              <w:rPr>
                <w:b/>
                <w:color w:val="000000"/>
              </w:rPr>
              <w:t>Acute-phase reactants (at least 1 test result is needed for classification)</w:t>
            </w:r>
            <w:r w:rsidRPr="006D387B">
              <w:rPr>
                <w:rFonts w:ascii="Dutch801BT-Roman" w:hAnsi="Dutch801BT-Roman"/>
                <w:b/>
                <w:color w:val="221E1F"/>
                <w:sz w:val="16"/>
                <w:szCs w:val="16"/>
              </w:rPr>
              <w:t xml:space="preserve"> ‡‡</w:t>
            </w:r>
          </w:p>
        </w:tc>
        <w:tc>
          <w:tcPr>
            <w:tcW w:w="1620" w:type="dxa"/>
            <w:shd w:val="clear" w:color="auto" w:fill="F2F2F2" w:themeFill="background1" w:themeFillShade="F2"/>
          </w:tcPr>
          <w:p w:rsidR="006D387B" w:rsidRPr="006D387B" w:rsidRDefault="006D387B" w:rsidP="006D387B">
            <w:pPr>
              <w:ind w:left="0"/>
              <w:jc w:val="center"/>
              <w:rPr>
                <w:sz w:val="18"/>
                <w:szCs w:val="18"/>
              </w:rPr>
            </w:pPr>
            <w:r>
              <w:rPr>
                <w:sz w:val="18"/>
                <w:szCs w:val="18"/>
              </w:rPr>
              <w:t>-</w:t>
            </w:r>
          </w:p>
        </w:tc>
      </w:tr>
      <w:tr w:rsidR="00716C1B" w:rsidRPr="006D387B" w:rsidTr="00196B48">
        <w:trPr>
          <w:trHeight w:val="305"/>
        </w:trPr>
        <w:tc>
          <w:tcPr>
            <w:tcW w:w="7650" w:type="dxa"/>
          </w:tcPr>
          <w:p w:rsidR="00716C1B" w:rsidRPr="00716C1B" w:rsidRDefault="00716C1B" w:rsidP="00716C1B">
            <w:pPr>
              <w:ind w:left="720"/>
              <w:rPr>
                <w:color w:val="000000"/>
                <w:sz w:val="18"/>
                <w:szCs w:val="18"/>
              </w:rPr>
            </w:pPr>
            <w:r w:rsidRPr="00716C1B">
              <w:rPr>
                <w:color w:val="000000"/>
                <w:sz w:val="18"/>
                <w:szCs w:val="18"/>
              </w:rPr>
              <w:t>Normal CRP and normal ESR</w:t>
            </w:r>
          </w:p>
        </w:tc>
        <w:tc>
          <w:tcPr>
            <w:tcW w:w="1620" w:type="dxa"/>
          </w:tcPr>
          <w:p w:rsidR="00716C1B" w:rsidRPr="00716C1B" w:rsidRDefault="00716C1B" w:rsidP="006D387B">
            <w:pPr>
              <w:ind w:left="0"/>
              <w:jc w:val="center"/>
              <w:rPr>
                <w:sz w:val="18"/>
                <w:szCs w:val="18"/>
              </w:rPr>
            </w:pPr>
            <w:r w:rsidRPr="00716C1B">
              <w:rPr>
                <w:sz w:val="18"/>
                <w:szCs w:val="18"/>
              </w:rPr>
              <w:t>0</w:t>
            </w:r>
          </w:p>
        </w:tc>
      </w:tr>
      <w:tr w:rsidR="00716C1B" w:rsidRPr="006D387B" w:rsidTr="00196B48">
        <w:trPr>
          <w:trHeight w:val="197"/>
        </w:trPr>
        <w:tc>
          <w:tcPr>
            <w:tcW w:w="7650" w:type="dxa"/>
          </w:tcPr>
          <w:p w:rsidR="00716C1B" w:rsidRPr="00716C1B" w:rsidRDefault="00716C1B" w:rsidP="00716C1B">
            <w:pPr>
              <w:ind w:left="720"/>
              <w:rPr>
                <w:color w:val="000000"/>
                <w:sz w:val="18"/>
                <w:szCs w:val="18"/>
              </w:rPr>
            </w:pPr>
            <w:r>
              <w:rPr>
                <w:color w:val="000000"/>
                <w:sz w:val="18"/>
                <w:szCs w:val="18"/>
              </w:rPr>
              <w:t>Abnormal CRP or abnormal ESR</w:t>
            </w:r>
          </w:p>
        </w:tc>
        <w:tc>
          <w:tcPr>
            <w:tcW w:w="1620" w:type="dxa"/>
          </w:tcPr>
          <w:p w:rsidR="00716C1B" w:rsidRPr="00716C1B" w:rsidRDefault="00716C1B" w:rsidP="006D387B">
            <w:pPr>
              <w:ind w:left="0"/>
              <w:jc w:val="center"/>
              <w:rPr>
                <w:sz w:val="18"/>
                <w:szCs w:val="18"/>
              </w:rPr>
            </w:pPr>
            <w:r>
              <w:rPr>
                <w:sz w:val="18"/>
                <w:szCs w:val="18"/>
              </w:rPr>
              <w:t>1</w:t>
            </w:r>
          </w:p>
        </w:tc>
      </w:tr>
      <w:tr w:rsidR="006D387B" w:rsidRPr="006D387B" w:rsidTr="00196B48">
        <w:trPr>
          <w:trHeight w:val="170"/>
        </w:trPr>
        <w:tc>
          <w:tcPr>
            <w:tcW w:w="7650" w:type="dxa"/>
            <w:shd w:val="clear" w:color="auto" w:fill="F2F2F2" w:themeFill="background1" w:themeFillShade="F2"/>
          </w:tcPr>
          <w:p w:rsidR="006D387B" w:rsidRPr="006D387B" w:rsidRDefault="006D387B" w:rsidP="006D387B">
            <w:pPr>
              <w:pStyle w:val="ListParagraph"/>
              <w:numPr>
                <w:ilvl w:val="0"/>
                <w:numId w:val="24"/>
              </w:numPr>
              <w:rPr>
                <w:b/>
                <w:color w:val="000000"/>
              </w:rPr>
            </w:pPr>
            <w:r w:rsidRPr="006D387B">
              <w:rPr>
                <w:b/>
                <w:color w:val="000000"/>
              </w:rPr>
              <w:t>Duration of symptoms</w:t>
            </w:r>
            <w:r w:rsidR="00196B48">
              <w:rPr>
                <w:rFonts w:ascii="Dutch801BT-Roman" w:eastAsia="Dutch801BT-Roman" w:hAnsi="Dutch801BT-Bold" w:cs="Dutch801BT-Roman" w:hint="eastAsia"/>
                <w:color w:val="231F20"/>
                <w:sz w:val="16"/>
                <w:szCs w:val="16"/>
              </w:rPr>
              <w:t>§§</w:t>
            </w:r>
          </w:p>
        </w:tc>
        <w:tc>
          <w:tcPr>
            <w:tcW w:w="1620" w:type="dxa"/>
            <w:shd w:val="clear" w:color="auto" w:fill="F2F2F2" w:themeFill="background1" w:themeFillShade="F2"/>
          </w:tcPr>
          <w:p w:rsidR="006D387B" w:rsidRPr="006D387B" w:rsidRDefault="006D387B" w:rsidP="006D387B">
            <w:pPr>
              <w:ind w:left="0"/>
              <w:jc w:val="center"/>
              <w:rPr>
                <w:sz w:val="18"/>
                <w:szCs w:val="18"/>
              </w:rPr>
            </w:pPr>
            <w:r>
              <w:rPr>
                <w:sz w:val="18"/>
                <w:szCs w:val="18"/>
              </w:rPr>
              <w:t>-</w:t>
            </w:r>
          </w:p>
        </w:tc>
      </w:tr>
      <w:tr w:rsidR="006D387B" w:rsidRPr="00716C1B" w:rsidTr="00196B48">
        <w:trPr>
          <w:trHeight w:val="366"/>
        </w:trPr>
        <w:tc>
          <w:tcPr>
            <w:tcW w:w="7650" w:type="dxa"/>
          </w:tcPr>
          <w:p w:rsidR="006D387B" w:rsidRPr="00716C1B" w:rsidRDefault="006D387B" w:rsidP="006D387B">
            <w:pPr>
              <w:ind w:left="720"/>
              <w:rPr>
                <w:b/>
                <w:color w:val="000000"/>
                <w:sz w:val="18"/>
                <w:szCs w:val="18"/>
              </w:rPr>
            </w:pPr>
            <w:r w:rsidRPr="00716C1B">
              <w:rPr>
                <w:sz w:val="18"/>
                <w:szCs w:val="18"/>
              </w:rPr>
              <w:t>&lt; 6 weeks</w:t>
            </w:r>
          </w:p>
        </w:tc>
        <w:tc>
          <w:tcPr>
            <w:tcW w:w="1620" w:type="dxa"/>
          </w:tcPr>
          <w:p w:rsidR="006D387B" w:rsidRPr="00716C1B" w:rsidRDefault="006D387B" w:rsidP="006D387B">
            <w:pPr>
              <w:ind w:left="0"/>
              <w:jc w:val="center"/>
              <w:rPr>
                <w:sz w:val="18"/>
                <w:szCs w:val="18"/>
              </w:rPr>
            </w:pPr>
            <w:r w:rsidRPr="00716C1B">
              <w:rPr>
                <w:sz w:val="18"/>
                <w:szCs w:val="18"/>
              </w:rPr>
              <w:t>0</w:t>
            </w:r>
          </w:p>
        </w:tc>
      </w:tr>
      <w:tr w:rsidR="006D387B" w:rsidRPr="00716C1B" w:rsidTr="00196B48">
        <w:trPr>
          <w:trHeight w:val="143"/>
        </w:trPr>
        <w:tc>
          <w:tcPr>
            <w:tcW w:w="7650" w:type="dxa"/>
          </w:tcPr>
          <w:p w:rsidR="006D387B" w:rsidRPr="00716C1B" w:rsidRDefault="006D387B" w:rsidP="006D387B">
            <w:pPr>
              <w:ind w:left="720"/>
              <w:rPr>
                <w:b/>
                <w:color w:val="000000"/>
                <w:sz w:val="18"/>
                <w:szCs w:val="18"/>
              </w:rPr>
            </w:pPr>
            <w:r w:rsidRPr="00716C1B">
              <w:rPr>
                <w:sz w:val="18"/>
                <w:szCs w:val="18"/>
              </w:rPr>
              <w:t>&gt;6 weeks</w:t>
            </w:r>
          </w:p>
        </w:tc>
        <w:tc>
          <w:tcPr>
            <w:tcW w:w="1620" w:type="dxa"/>
          </w:tcPr>
          <w:p w:rsidR="006D387B" w:rsidRPr="00716C1B" w:rsidRDefault="006D387B" w:rsidP="006D387B">
            <w:pPr>
              <w:ind w:left="0"/>
              <w:jc w:val="center"/>
              <w:rPr>
                <w:sz w:val="18"/>
                <w:szCs w:val="18"/>
              </w:rPr>
            </w:pPr>
            <w:r w:rsidRPr="00716C1B">
              <w:rPr>
                <w:sz w:val="18"/>
                <w:szCs w:val="18"/>
              </w:rPr>
              <w:t>1</w:t>
            </w:r>
          </w:p>
        </w:tc>
      </w:tr>
      <w:tr w:rsidR="004D1A6C" w:rsidRPr="00716C1B" w:rsidTr="00196B48">
        <w:trPr>
          <w:trHeight w:val="143"/>
        </w:trPr>
        <w:tc>
          <w:tcPr>
            <w:tcW w:w="9270" w:type="dxa"/>
            <w:gridSpan w:val="2"/>
          </w:tcPr>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color w:val="231F20"/>
                <w:sz w:val="16"/>
                <w:szCs w:val="16"/>
              </w:rPr>
              <w:lastRenderedPageBreak/>
              <w:t>* The criteria are aimed at classification of newly presenting patients. In addition, patients with erosive disease typical of rheumatoid arthritis (RA) with a history compatible with prior fulfillment of the 2010 criteria should be classified as having RA. Patients with longstanding disease, including those whose disease is inactive (with or without treatment) who, based on retrospectively available data, have previously fulfilled the 2010 criteria should be classified as having RA.</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Differential diagnoses vary among patients with different presentations, but may include conditions such as systemic lupus erythematosus, psoriatic arthritis, and gout. If it is unclear about the relevant differential diagnoses to consider, an expert rheumatologist should be consulted.</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Although patients with a score of </w:t>
            </w:r>
            <w:r>
              <w:rPr>
                <w:rFonts w:ascii="Universal-GreekwithMathPi" w:hAnsi="Universal-GreekwithMathPi" w:cs="Universal-GreekwithMathPi"/>
                <w:color w:val="231F20"/>
                <w:sz w:val="16"/>
                <w:szCs w:val="16"/>
              </w:rPr>
              <w:t>&lt;</w:t>
            </w:r>
            <w:r>
              <w:rPr>
                <w:rFonts w:ascii="Dutch801BT-Roman" w:eastAsia="Dutch801BT-Roman" w:hAnsi="Dutch801BT-Bold" w:cs="Dutch801BT-Roman"/>
                <w:color w:val="231F20"/>
                <w:sz w:val="16"/>
                <w:szCs w:val="16"/>
              </w:rPr>
              <w:t>6/10 are not classifiable as having RA, their status can be reassessed and the criteria might be fulfilled cumulatively over time.</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Joint involvement refers to any </w:t>
            </w:r>
            <w:r>
              <w:rPr>
                <w:rFonts w:ascii="Dutch801BT-Italic" w:hAnsi="Dutch801BT-Italic" w:cs="Dutch801BT-Italic"/>
                <w:i/>
                <w:iCs/>
                <w:color w:val="231F20"/>
                <w:sz w:val="16"/>
                <w:szCs w:val="16"/>
              </w:rPr>
              <w:t xml:space="preserve">swollen </w:t>
            </w:r>
            <w:r>
              <w:rPr>
                <w:rFonts w:ascii="Dutch801BT-Roman" w:eastAsia="Dutch801BT-Roman" w:hAnsi="Dutch801BT-Bold" w:cs="Dutch801BT-Roman"/>
                <w:color w:val="231F20"/>
                <w:sz w:val="16"/>
                <w:szCs w:val="16"/>
              </w:rPr>
              <w:t xml:space="preserve">or </w:t>
            </w:r>
            <w:r>
              <w:rPr>
                <w:rFonts w:ascii="Dutch801BT-Italic" w:hAnsi="Dutch801BT-Italic" w:cs="Dutch801BT-Italic"/>
                <w:i/>
                <w:iCs/>
                <w:color w:val="231F20"/>
                <w:sz w:val="16"/>
                <w:szCs w:val="16"/>
              </w:rPr>
              <w:t xml:space="preserve">tender </w:t>
            </w:r>
            <w:r>
              <w:rPr>
                <w:rFonts w:ascii="Dutch801BT-Roman" w:eastAsia="Dutch801BT-Roman" w:hAnsi="Dutch801BT-Bold" w:cs="Dutch801BT-Roman"/>
                <w:color w:val="231F20"/>
                <w:sz w:val="16"/>
                <w:szCs w:val="16"/>
              </w:rPr>
              <w:t xml:space="preserve">joint on examination, which may be confirmed by imaging evidence of synovitis. Distal interphalangeal joints, first carpometacarpal joints, and first metatarsophalangeal joints are </w:t>
            </w:r>
            <w:r>
              <w:rPr>
                <w:rFonts w:ascii="Dutch801BT-Italic" w:hAnsi="Dutch801BT-Italic" w:cs="Dutch801BT-Italic"/>
                <w:i/>
                <w:iCs/>
                <w:color w:val="231F20"/>
                <w:sz w:val="16"/>
                <w:szCs w:val="16"/>
              </w:rPr>
              <w:t>excluded from assessment</w:t>
            </w:r>
            <w:r>
              <w:rPr>
                <w:rFonts w:ascii="Dutch801BT-Roman" w:eastAsia="Dutch801BT-Roman" w:hAnsi="Dutch801BT-Bold" w:cs="Dutch801BT-Roman"/>
                <w:color w:val="231F20"/>
                <w:sz w:val="16"/>
                <w:szCs w:val="16"/>
              </w:rPr>
              <w:t>. Categories of joint distribution are classified according to the location and number of involved joints, with placement into the highest category possible based on the pattern of joint involvement.</w:t>
            </w:r>
          </w:p>
          <w:p w:rsidR="004D1A6C" w:rsidRDefault="00196B48" w:rsidP="004D1A6C">
            <w:pPr>
              <w:autoSpaceDE w:val="0"/>
              <w:autoSpaceDN w:val="0"/>
              <w:adjustRightInd w:val="0"/>
              <w:spacing w:after="0"/>
              <w:rPr>
                <w:rFonts w:ascii="Dutch801BT-Roman" w:eastAsia="Dutch801BT-Roman" w:hAnsi="Dutch801BT-Bold" w:cs="Dutch801BT-Roman"/>
                <w:color w:val="231F20"/>
                <w:sz w:val="16"/>
                <w:szCs w:val="16"/>
              </w:rPr>
            </w:pPr>
            <w:r>
              <w:rPr>
                <w:rFonts w:ascii="Arial Unicode MS" w:eastAsia="Arial Unicode MS" w:hAnsi="Arial Unicode MS" w:cs="Arial Unicode MS" w:hint="eastAsia"/>
                <w:color w:val="231F20"/>
                <w:sz w:val="16"/>
                <w:szCs w:val="16"/>
              </w:rPr>
              <w:t>¶</w:t>
            </w:r>
            <w:r w:rsidR="004D1A6C">
              <w:rPr>
                <w:rFonts w:ascii="Dutch801BT-Roman" w:eastAsia="Dutch801BT-Roman" w:hAnsi="Dutch801BT-Bold" w:cs="Dutch801BT-Roman"/>
                <w:color w:val="231F20"/>
                <w:sz w:val="16"/>
                <w:szCs w:val="16"/>
              </w:rPr>
              <w:t xml:space="preserve"> </w:t>
            </w:r>
            <w:r w:rsidR="004D1A6C">
              <w:rPr>
                <w:rFonts w:ascii="Dutch801BT-Roman" w:eastAsia="Dutch801BT-Roman" w:hAnsi="Dutch801BT-Bold" w:cs="Dutch801BT-Roman" w:hint="eastAsia"/>
                <w:color w:val="231F20"/>
                <w:sz w:val="16"/>
                <w:szCs w:val="16"/>
              </w:rPr>
              <w:t>“</w:t>
            </w:r>
            <w:r w:rsidR="004D1A6C">
              <w:rPr>
                <w:rFonts w:ascii="Dutch801BT-Roman" w:eastAsia="Dutch801BT-Roman" w:hAnsi="Dutch801BT-Bold" w:cs="Dutch801BT-Roman"/>
                <w:color w:val="231F20"/>
                <w:sz w:val="16"/>
                <w:szCs w:val="16"/>
              </w:rPr>
              <w:t>Large joints</w:t>
            </w:r>
            <w:r w:rsidR="004D1A6C">
              <w:rPr>
                <w:rFonts w:ascii="Dutch801BT-Roman" w:eastAsia="Dutch801BT-Roman" w:hAnsi="Dutch801BT-Bold" w:cs="Dutch801BT-Roman" w:hint="eastAsia"/>
                <w:color w:val="231F20"/>
                <w:sz w:val="16"/>
                <w:szCs w:val="16"/>
              </w:rPr>
              <w:t>”</w:t>
            </w:r>
            <w:r w:rsidR="004D1A6C">
              <w:rPr>
                <w:rFonts w:ascii="Dutch801BT-Roman" w:eastAsia="Dutch801BT-Roman" w:hAnsi="Dutch801BT-Bold" w:cs="Dutch801BT-Roman"/>
                <w:color w:val="231F20"/>
                <w:sz w:val="16"/>
                <w:szCs w:val="16"/>
              </w:rPr>
              <w:t xml:space="preserve"> refers to shoulders, elbows, hips, knees, and ankles.</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color w:val="231F20"/>
                <w:sz w:val="16"/>
                <w:szCs w:val="16"/>
              </w:rPr>
              <w:t xml:space="preserve"># </w:t>
            </w: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Small joints</w:t>
            </w: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refers to the metacarpophalangeal joints, proximal interphalangeal joints, second through fifth metatarsophalangeal joints, thumb interphalangeal joints, and wrists.</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color w:val="231F20"/>
                <w:sz w:val="16"/>
                <w:szCs w:val="16"/>
              </w:rPr>
              <w:t>** In this category, at least 1 of the involved joints must be a small joint; the other joints can include any combination of large and additional small joints, as well as other joints not specifically listed elsewhere (e.g., temporomandibular, acromioclavicular, sternoclavicular, etc.).</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Negative refers to IU values that are less than or equal to the upper limit of normal (ULN) for the laboratory and assay; low-positive refers to IU values that are higher than the ULN but </w:t>
            </w:r>
            <w:r>
              <w:rPr>
                <w:rFonts w:ascii="MathematicalPi-One" w:hAnsi="MathematicalPi-One" w:cs="MathematicalPi-One"/>
                <w:color w:val="231F20"/>
                <w:sz w:val="16"/>
                <w:szCs w:val="16"/>
              </w:rPr>
              <w:t>&gt;</w:t>
            </w:r>
            <w:r>
              <w:rPr>
                <w:rFonts w:ascii="Dutch801BT-Roman" w:eastAsia="Dutch801BT-Roman" w:hAnsi="Dutch801BT-Bold" w:cs="Dutch801BT-Roman"/>
                <w:color w:val="231F20"/>
                <w:sz w:val="16"/>
                <w:szCs w:val="16"/>
              </w:rPr>
              <w:t xml:space="preserve">3 times the ULN for the laboratory and assay; high-positive refers to IU values that are </w:t>
            </w:r>
            <w:r>
              <w:rPr>
                <w:rFonts w:ascii="Universal-GreekwithMathPi" w:hAnsi="Universal-GreekwithMathPi" w:cs="Universal-GreekwithMathPi"/>
                <w:color w:val="231F20"/>
                <w:sz w:val="16"/>
                <w:szCs w:val="16"/>
              </w:rPr>
              <w:t>&gt;</w:t>
            </w:r>
            <w:r>
              <w:rPr>
                <w:rFonts w:ascii="Dutch801BT-Roman" w:eastAsia="Dutch801BT-Roman" w:hAnsi="Dutch801BT-Bold" w:cs="Dutch801BT-Roman"/>
                <w:color w:val="231F20"/>
                <w:sz w:val="16"/>
                <w:szCs w:val="16"/>
              </w:rPr>
              <w:t xml:space="preserve">3 times the ULN for the laboratory and assay. Where rheumatoid factor (RF) information is only available as positive or negative, a positive result should be scored as low-positive for RF. ACPA </w:t>
            </w:r>
            <w:r>
              <w:rPr>
                <w:rFonts w:ascii="Universal-GreekwithMathPi" w:hAnsi="Universal-GreekwithMathPi" w:cs="Universal-GreekwithMathPi"/>
                <w:color w:val="231F20"/>
                <w:sz w:val="16"/>
                <w:szCs w:val="16"/>
              </w:rPr>
              <w:t xml:space="preserve">= </w:t>
            </w:r>
            <w:r>
              <w:rPr>
                <w:rFonts w:ascii="Dutch801BT-Roman" w:eastAsia="Dutch801BT-Roman" w:hAnsi="Dutch801BT-Bold" w:cs="Dutch801BT-Roman"/>
                <w:color w:val="231F20"/>
                <w:sz w:val="16"/>
                <w:szCs w:val="16"/>
              </w:rPr>
              <w:t>anti</w:t>
            </w:r>
            <w:r>
              <w:rPr>
                <w:rFonts w:ascii="Universal-GreekwithMathPi" w:hAnsi="Universal-GreekwithMathPi" w:cs="Universal-GreekwithMathPi"/>
                <w:color w:val="231F20"/>
                <w:sz w:val="16"/>
                <w:szCs w:val="16"/>
              </w:rPr>
              <w:t>_</w:t>
            </w:r>
            <w:r>
              <w:rPr>
                <w:rFonts w:ascii="Dutch801BT-Roman" w:eastAsia="Dutch801BT-Roman" w:hAnsi="Dutch801BT-Bold" w:cs="Dutch801BT-Roman"/>
                <w:color w:val="231F20"/>
                <w:sz w:val="16"/>
                <w:szCs w:val="16"/>
              </w:rPr>
              <w:t>citrullinated protein antibody.</w:t>
            </w:r>
          </w:p>
          <w:p w:rsidR="004D1A6C" w:rsidRDefault="004D1A6C" w:rsidP="004D1A6C">
            <w:pPr>
              <w:autoSpaceDE w:val="0"/>
              <w:autoSpaceDN w:val="0"/>
              <w:adjustRightInd w:val="0"/>
              <w:spacing w:after="0"/>
              <w:rPr>
                <w:rFonts w:ascii="Dutch801BT-Roman" w:eastAsia="Dutch801BT-Roman" w:hAnsi="Dutch801BT-Bold" w:cs="Dutch801BT-Roman"/>
                <w:color w:val="231F20"/>
                <w:sz w:val="16"/>
                <w:szCs w:val="16"/>
              </w:rPr>
            </w:pP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Normal/abnormal is determined by local laboratory standards. CRP </w:t>
            </w:r>
            <w:r>
              <w:rPr>
                <w:rFonts w:ascii="Universal-GreekwithMathPi" w:hAnsi="Universal-GreekwithMathPi" w:cs="Universal-GreekwithMathPi"/>
                <w:color w:val="231F20"/>
                <w:sz w:val="16"/>
                <w:szCs w:val="16"/>
              </w:rPr>
              <w:t xml:space="preserve">=  </w:t>
            </w:r>
            <w:r>
              <w:rPr>
                <w:rFonts w:ascii="Dutch801BT-Roman" w:eastAsia="Dutch801BT-Roman" w:hAnsi="Dutch801BT-Bold" w:cs="Dutch801BT-Roman"/>
                <w:color w:val="231F20"/>
                <w:sz w:val="16"/>
                <w:szCs w:val="16"/>
              </w:rPr>
              <w:t xml:space="preserve">C-reactive protein; ESR </w:t>
            </w:r>
            <w:r>
              <w:rPr>
                <w:rFonts w:ascii="Universal-GreekwithMathPi" w:hAnsi="Universal-GreekwithMathPi" w:cs="Universal-GreekwithMathPi"/>
                <w:color w:val="231F20"/>
                <w:sz w:val="16"/>
                <w:szCs w:val="16"/>
              </w:rPr>
              <w:t xml:space="preserve">= </w:t>
            </w:r>
            <w:r>
              <w:rPr>
                <w:rFonts w:ascii="Dutch801BT-Roman" w:eastAsia="Dutch801BT-Roman" w:hAnsi="Dutch801BT-Bold" w:cs="Dutch801BT-Roman"/>
                <w:color w:val="231F20"/>
                <w:sz w:val="16"/>
                <w:szCs w:val="16"/>
              </w:rPr>
              <w:t>erythrocyte sedimentation rate.</w:t>
            </w:r>
          </w:p>
          <w:p w:rsidR="004D1A6C" w:rsidRPr="00716C1B" w:rsidRDefault="004D1A6C" w:rsidP="004D1A6C">
            <w:pPr>
              <w:autoSpaceDE w:val="0"/>
              <w:autoSpaceDN w:val="0"/>
              <w:adjustRightInd w:val="0"/>
              <w:spacing w:after="0"/>
              <w:rPr>
                <w:sz w:val="18"/>
                <w:szCs w:val="18"/>
              </w:rPr>
            </w:pPr>
            <w:r>
              <w:rPr>
                <w:rFonts w:ascii="Dutch801BT-Roman" w:eastAsia="Dutch801BT-Roman" w:hAnsi="Dutch801BT-Bold" w:cs="Dutch801BT-Roman" w:hint="eastAsia"/>
                <w:color w:val="231F20"/>
                <w:sz w:val="16"/>
                <w:szCs w:val="16"/>
              </w:rPr>
              <w:t>§§</w:t>
            </w:r>
            <w:r>
              <w:rPr>
                <w:rFonts w:ascii="Dutch801BT-Roman" w:eastAsia="Dutch801BT-Roman" w:hAnsi="Dutch801BT-Bold" w:cs="Dutch801BT-Roman"/>
                <w:color w:val="231F20"/>
                <w:sz w:val="16"/>
                <w:szCs w:val="16"/>
              </w:rPr>
              <w:t xml:space="preserve"> Duration of symptoms refers to patient self-report of the duration of signs or symptoms of synovitis (e.g., pain, swelling, tenderness) of joints that are clinically involved at the time of assessment, regardless</w:t>
            </w:r>
            <w:r>
              <w:rPr>
                <w:rFonts w:ascii="Dutch801BT-Roman" w:eastAsia="Dutch801BT-Roman" w:cs="Dutch801BT-Roman"/>
                <w:color w:val="221E1F"/>
                <w:sz w:val="16"/>
                <w:szCs w:val="16"/>
              </w:rPr>
              <w:t xml:space="preserve"> of treatment status.</w:t>
            </w:r>
            <w:r>
              <w:rPr>
                <w:rFonts w:ascii="Dutch801BT-Roman" w:eastAsia="Dutch801BT-Roman" w:hAnsi="Dutch801BT-Bold" w:cs="Dutch801BT-Roman"/>
                <w:color w:val="231F20"/>
                <w:sz w:val="16"/>
                <w:szCs w:val="16"/>
              </w:rPr>
              <w:br w:type="page"/>
            </w:r>
          </w:p>
        </w:tc>
      </w:tr>
    </w:tbl>
    <w:p w:rsidR="001D0709" w:rsidRDefault="001D0709" w:rsidP="001D0709"/>
    <w:p w:rsidR="00F95723" w:rsidRPr="00F95723" w:rsidRDefault="00F95723" w:rsidP="00F95723"/>
    <w:p w:rsidR="00440732" w:rsidRDefault="00440732" w:rsidP="006F30AC">
      <w:pPr>
        <w:ind w:left="0"/>
      </w:pPr>
    </w:p>
    <w:p w:rsidR="00E7112E" w:rsidRDefault="00E7112E" w:rsidP="00794206"/>
    <w:sectPr w:rsidR="00E7112E" w:rsidSect="00F56002">
      <w:headerReference w:type="default" r:id="rId8"/>
      <w:footerReference w:type="default" r:id="rId9"/>
      <w:pgSz w:w="12240" w:h="15840" w:code="1"/>
      <w:pgMar w:top="1008" w:right="1008" w:bottom="900" w:left="144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B5" w:rsidRDefault="00C00FB5" w:rsidP="005F6C72">
      <w:pPr>
        <w:spacing w:after="0"/>
      </w:pPr>
      <w:r>
        <w:separator/>
      </w:r>
    </w:p>
  </w:endnote>
  <w:endnote w:type="continuationSeparator" w:id="0">
    <w:p w:rsidR="00C00FB5" w:rsidRDefault="00C00FB5" w:rsidP="005F6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utch801BT-Roman">
    <w:altName w:val="Arial Unicode MS"/>
    <w:charset w:val="00"/>
    <w:family w:val="auto"/>
    <w:pitch w:val="default"/>
    <w:sig w:usb0="00000001" w:usb1="08080000" w:usb2="00000010" w:usb3="00000000" w:csb0="00100000" w:csb1="00000000"/>
  </w:font>
  <w:font w:name="Dutch801BT-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al-GreekwithMathPi">
    <w:altName w:val="Calibri"/>
    <w:panose1 w:val="00000000000000000000"/>
    <w:charset w:val="00"/>
    <w:family w:val="auto"/>
    <w:notTrueType/>
    <w:pitch w:val="default"/>
    <w:sig w:usb0="00000003" w:usb1="00000000" w:usb2="00000000" w:usb3="00000000" w:csb0="00000001" w:csb1="00000000"/>
  </w:font>
  <w:font w:name="Dutch801BT-Italic">
    <w:altName w:val="Calibri"/>
    <w:panose1 w:val="00000000000000000000"/>
    <w:charset w:val="00"/>
    <w:family w:val="auto"/>
    <w:notTrueType/>
    <w:pitch w:val="default"/>
    <w:sig w:usb0="00000003" w:usb1="00000000" w:usb2="00000000" w:usb3="00000000" w:csb0="00000001" w:csb1="00000000"/>
  </w:font>
  <w:font w:name="MathematicalPi-On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68" w:rsidRDefault="001B5168" w:rsidP="005F6C72">
    <w:pPr>
      <w:pStyle w:val="Footer"/>
      <w:tabs>
        <w:tab w:val="clear" w:pos="8640"/>
        <w:tab w:val="right" w:pos="10267"/>
      </w:tabs>
      <w:spacing w:after="0"/>
      <w:ind w:left="0"/>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03142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3142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B5" w:rsidRDefault="00C00FB5" w:rsidP="005F6C72">
      <w:pPr>
        <w:spacing w:after="0"/>
      </w:pPr>
      <w:r>
        <w:separator/>
      </w:r>
    </w:p>
  </w:footnote>
  <w:footnote w:type="continuationSeparator" w:id="0">
    <w:p w:rsidR="00C00FB5" w:rsidRDefault="00C00FB5" w:rsidP="005F6C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520"/>
      <w:gridCol w:w="900"/>
      <w:gridCol w:w="1800"/>
    </w:tblGrid>
    <w:tr w:rsidR="001B5168" w:rsidRPr="001E7396" w:rsidTr="005F6C72">
      <w:trPr>
        <w:trHeight w:val="198"/>
      </w:trPr>
      <w:tc>
        <w:tcPr>
          <w:tcW w:w="8748" w:type="dxa"/>
          <w:gridSpan w:val="3"/>
          <w:tcBorders>
            <w:top w:val="nil"/>
            <w:left w:val="nil"/>
            <w:bottom w:val="nil"/>
            <w:right w:val="nil"/>
          </w:tcBorders>
          <w:shd w:val="clear" w:color="auto" w:fill="auto"/>
        </w:tcPr>
        <w:p w:rsidR="001B5168" w:rsidRPr="001E7396" w:rsidRDefault="001B5168" w:rsidP="005F6C72">
          <w:pPr>
            <w:pStyle w:val="Header"/>
            <w:spacing w:after="60"/>
            <w:ind w:left="0"/>
            <w:rPr>
              <w:rFonts w:eastAsia="Times New Roman"/>
              <w:sz w:val="18"/>
              <w:szCs w:val="18"/>
            </w:rPr>
          </w:pPr>
        </w:p>
      </w:tc>
      <w:tc>
        <w:tcPr>
          <w:tcW w:w="1800" w:type="dxa"/>
          <w:tcBorders>
            <w:top w:val="nil"/>
            <w:left w:val="nil"/>
            <w:bottom w:val="nil"/>
            <w:right w:val="nil"/>
          </w:tcBorders>
          <w:shd w:val="clear" w:color="auto" w:fill="auto"/>
        </w:tcPr>
        <w:p w:rsidR="001B5168" w:rsidRPr="001E7396" w:rsidRDefault="001B5168" w:rsidP="005F6C72">
          <w:pPr>
            <w:pStyle w:val="Header"/>
            <w:spacing w:after="60"/>
            <w:ind w:left="90"/>
            <w:jc w:val="right"/>
            <w:rPr>
              <w:rFonts w:eastAsia="Times New Roman"/>
              <w:sz w:val="16"/>
              <w:szCs w:val="16"/>
            </w:rPr>
          </w:pPr>
        </w:p>
      </w:tc>
    </w:tr>
    <w:tr w:rsidR="001B5168" w:rsidRPr="001E7396" w:rsidTr="005F6C72">
      <w:trPr>
        <w:trHeight w:val="243"/>
      </w:trPr>
      <w:tc>
        <w:tcPr>
          <w:tcW w:w="5328" w:type="dxa"/>
          <w:tcBorders>
            <w:top w:val="nil"/>
            <w:left w:val="nil"/>
            <w:bottom w:val="single" w:sz="2" w:space="0" w:color="1D2675"/>
            <w:right w:val="nil"/>
          </w:tcBorders>
          <w:shd w:val="clear" w:color="auto" w:fill="auto"/>
        </w:tcPr>
        <w:p w:rsidR="001B5168" w:rsidRPr="001E7396" w:rsidRDefault="001B5168" w:rsidP="005F6C72">
          <w:pPr>
            <w:pStyle w:val="Header"/>
            <w:spacing w:after="0"/>
            <w:ind w:left="0"/>
            <w:rPr>
              <w:rFonts w:eastAsia="Times New Roman"/>
              <w:sz w:val="16"/>
              <w:szCs w:val="16"/>
            </w:rPr>
          </w:pPr>
          <w:r w:rsidRPr="00E83C7E">
            <w:rPr>
              <w:sz w:val="16"/>
              <w:szCs w:val="16"/>
            </w:rPr>
            <w:t>Partners HealthCare System</w:t>
          </w:r>
          <w:r>
            <w:rPr>
              <w:sz w:val="16"/>
              <w:szCs w:val="16"/>
            </w:rPr>
            <w:t>s</w:t>
          </w:r>
          <w:r w:rsidRPr="00E83C7E">
            <w:rPr>
              <w:sz w:val="16"/>
              <w:szCs w:val="16"/>
            </w:rPr>
            <w:t>, Inc</w:t>
          </w:r>
          <w:r>
            <w:rPr>
              <w:sz w:val="16"/>
              <w:szCs w:val="16"/>
            </w:rPr>
            <w:t>.</w:t>
          </w:r>
        </w:p>
      </w:tc>
      <w:tc>
        <w:tcPr>
          <w:tcW w:w="2520" w:type="dxa"/>
          <w:tcBorders>
            <w:top w:val="nil"/>
            <w:left w:val="nil"/>
            <w:bottom w:val="single" w:sz="2" w:space="0" w:color="1D2675"/>
            <w:right w:val="nil"/>
          </w:tcBorders>
          <w:shd w:val="clear" w:color="auto" w:fill="auto"/>
        </w:tcPr>
        <w:p w:rsidR="001B5168" w:rsidRPr="001E7396" w:rsidRDefault="001B5168" w:rsidP="005F6C72">
          <w:pPr>
            <w:pStyle w:val="Header"/>
            <w:spacing w:after="0"/>
            <w:ind w:left="0"/>
            <w:rPr>
              <w:rFonts w:eastAsia="Times New Roman"/>
              <w:sz w:val="16"/>
              <w:szCs w:val="16"/>
            </w:rPr>
          </w:pPr>
        </w:p>
      </w:tc>
      <w:tc>
        <w:tcPr>
          <w:tcW w:w="2700" w:type="dxa"/>
          <w:gridSpan w:val="2"/>
          <w:tcBorders>
            <w:top w:val="nil"/>
            <w:left w:val="nil"/>
            <w:bottom w:val="single" w:sz="2" w:space="0" w:color="1D2675"/>
            <w:right w:val="nil"/>
          </w:tcBorders>
          <w:shd w:val="clear" w:color="auto" w:fill="auto"/>
        </w:tcPr>
        <w:p w:rsidR="001B5168" w:rsidRPr="001E7396" w:rsidRDefault="001B5168" w:rsidP="005F6C72">
          <w:pPr>
            <w:pStyle w:val="Header"/>
            <w:spacing w:after="0"/>
            <w:ind w:left="90"/>
            <w:jc w:val="right"/>
            <w:rPr>
              <w:rFonts w:eastAsia="Times New Roman"/>
              <w:sz w:val="16"/>
              <w:szCs w:val="16"/>
            </w:rPr>
          </w:pPr>
          <w:r w:rsidRPr="001E7396">
            <w:rPr>
              <w:rFonts w:eastAsia="Times New Roman"/>
              <w:sz w:val="16"/>
              <w:szCs w:val="16"/>
            </w:rPr>
            <w:t xml:space="preserve">Last Modified: </w:t>
          </w:r>
          <w:r w:rsidR="00031426">
            <w:fldChar w:fldCharType="begin"/>
          </w:r>
          <w:r w:rsidR="00031426">
            <w:instrText xml:space="preserve"> DATE   \* MERGEFORMAT </w:instrText>
          </w:r>
          <w:r w:rsidR="00031426">
            <w:fldChar w:fldCharType="separate"/>
          </w:r>
          <w:r w:rsidR="00031426" w:rsidRPr="00031426">
            <w:rPr>
              <w:rFonts w:eastAsia="Times New Roman"/>
              <w:noProof/>
              <w:sz w:val="16"/>
              <w:szCs w:val="16"/>
            </w:rPr>
            <w:t>10/11/2017</w:t>
          </w:r>
          <w:r w:rsidR="00031426">
            <w:rPr>
              <w:rFonts w:eastAsia="Times New Roman"/>
              <w:noProof/>
              <w:sz w:val="16"/>
              <w:szCs w:val="16"/>
            </w:rPr>
            <w:fldChar w:fldCharType="end"/>
          </w:r>
        </w:p>
      </w:tc>
    </w:tr>
  </w:tbl>
  <w:p w:rsidR="001B5168" w:rsidRPr="004D4149" w:rsidRDefault="001B5168" w:rsidP="005F6C7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67F"/>
    <w:multiLevelType w:val="multilevel"/>
    <w:tmpl w:val="CE460C7C"/>
    <w:lvl w:ilvl="0">
      <w:start w:val="1"/>
      <w:numFmt w:val="decimal"/>
      <w:lvlText w:val="%1."/>
      <w:lvlJc w:val="left"/>
      <w:pPr>
        <w:ind w:left="936" w:hanging="360"/>
      </w:pPr>
      <w:rPr>
        <w:rFonts w:hint="default"/>
      </w:rPr>
    </w:lvl>
    <w:lvl w:ilvl="1">
      <w:numFmt w:val="decimal"/>
      <w:isLgl/>
      <w:lvlText w:val="%1.%2"/>
      <w:lvlJc w:val="left"/>
      <w:pPr>
        <w:ind w:left="1296" w:hanging="720"/>
      </w:pPr>
      <w:rPr>
        <w:rFonts w:hint="default"/>
      </w:rPr>
    </w:lvl>
    <w:lvl w:ilvl="2">
      <w:start w:val="1"/>
      <w:numFmt w:val="decimalZero"/>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16" w:hanging="144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736" w:hanging="2160"/>
      </w:pPr>
      <w:rPr>
        <w:rFonts w:hint="default"/>
      </w:rPr>
    </w:lvl>
    <w:lvl w:ilvl="8">
      <w:start w:val="1"/>
      <w:numFmt w:val="decimal"/>
      <w:isLgl/>
      <w:lvlText w:val="%1.%2.%3.%4.%5.%6.%7.%8.%9"/>
      <w:lvlJc w:val="left"/>
      <w:pPr>
        <w:ind w:left="3096" w:hanging="2520"/>
      </w:pPr>
      <w:rPr>
        <w:rFonts w:hint="default"/>
      </w:rPr>
    </w:lvl>
  </w:abstractNum>
  <w:abstractNum w:abstractNumId="1" w15:restartNumberingAfterBreak="0">
    <w:nsid w:val="07D06767"/>
    <w:multiLevelType w:val="hybridMultilevel"/>
    <w:tmpl w:val="3904A1A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EED5DAD"/>
    <w:multiLevelType w:val="hybridMultilevel"/>
    <w:tmpl w:val="09F8E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97C"/>
    <w:multiLevelType w:val="multilevel"/>
    <w:tmpl w:val="7E52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15FE4"/>
    <w:multiLevelType w:val="multilevel"/>
    <w:tmpl w:val="144A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55A67"/>
    <w:multiLevelType w:val="hybridMultilevel"/>
    <w:tmpl w:val="7146E4E4"/>
    <w:lvl w:ilvl="0" w:tplc="6AB62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3C1622"/>
    <w:multiLevelType w:val="hybridMultilevel"/>
    <w:tmpl w:val="4EC075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F46203"/>
    <w:multiLevelType w:val="hybridMultilevel"/>
    <w:tmpl w:val="A7AE63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03D4E7F"/>
    <w:multiLevelType w:val="hybridMultilevel"/>
    <w:tmpl w:val="3730A1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3700968"/>
    <w:multiLevelType w:val="hybridMultilevel"/>
    <w:tmpl w:val="17F44470"/>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5897B69"/>
    <w:multiLevelType w:val="hybridMultilevel"/>
    <w:tmpl w:val="5C92A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6C55F58"/>
    <w:multiLevelType w:val="multilevel"/>
    <w:tmpl w:val="D7068F48"/>
    <w:lvl w:ilvl="0">
      <w:start w:val="3"/>
      <w:numFmt w:val="decimal"/>
      <w:lvlText w:val="%1"/>
      <w:lvlJc w:val="left"/>
      <w:pPr>
        <w:ind w:left="420" w:hanging="420"/>
      </w:pPr>
      <w:rPr>
        <w:rFonts w:hint="default"/>
      </w:rPr>
    </w:lvl>
    <w:lvl w:ilvl="1">
      <w:start w:val="1"/>
      <w:numFmt w:val="decimal"/>
      <w:lvlText w:val="%1.%2"/>
      <w:lvlJc w:val="left"/>
      <w:pPr>
        <w:ind w:left="4410" w:hanging="720"/>
      </w:pPr>
      <w:rPr>
        <w:rFonts w:hint="default"/>
      </w:rPr>
    </w:lvl>
    <w:lvl w:ilvl="2">
      <w:start w:val="1"/>
      <w:numFmt w:val="decimalZero"/>
      <w:lvlText w:val="%1.%2.%3"/>
      <w:lvlJc w:val="left"/>
      <w:pPr>
        <w:ind w:left="8100" w:hanging="720"/>
      </w:pPr>
      <w:rPr>
        <w:rFonts w:hint="default"/>
      </w:rPr>
    </w:lvl>
    <w:lvl w:ilvl="3">
      <w:start w:val="1"/>
      <w:numFmt w:val="decimal"/>
      <w:lvlText w:val="%1.%2.%3.%4"/>
      <w:lvlJc w:val="left"/>
      <w:pPr>
        <w:ind w:left="12150" w:hanging="1080"/>
      </w:pPr>
      <w:rPr>
        <w:rFonts w:hint="default"/>
      </w:rPr>
    </w:lvl>
    <w:lvl w:ilvl="4">
      <w:start w:val="1"/>
      <w:numFmt w:val="decimal"/>
      <w:lvlText w:val="%1.%2.%3.%4.%5"/>
      <w:lvlJc w:val="left"/>
      <w:pPr>
        <w:ind w:left="16200" w:hanging="1440"/>
      </w:pPr>
      <w:rPr>
        <w:rFonts w:hint="default"/>
      </w:rPr>
    </w:lvl>
    <w:lvl w:ilvl="5">
      <w:start w:val="1"/>
      <w:numFmt w:val="decimal"/>
      <w:lvlText w:val="%1.%2.%3.%4.%5.%6"/>
      <w:lvlJc w:val="left"/>
      <w:pPr>
        <w:ind w:left="19890" w:hanging="1440"/>
      </w:pPr>
      <w:rPr>
        <w:rFonts w:hint="default"/>
      </w:rPr>
    </w:lvl>
    <w:lvl w:ilvl="6">
      <w:start w:val="1"/>
      <w:numFmt w:val="decimal"/>
      <w:lvlText w:val="%1.%2.%3.%4.%5.%6.%7"/>
      <w:lvlJc w:val="left"/>
      <w:pPr>
        <w:ind w:left="23940" w:hanging="1800"/>
      </w:pPr>
      <w:rPr>
        <w:rFonts w:hint="default"/>
      </w:rPr>
    </w:lvl>
    <w:lvl w:ilvl="7">
      <w:start w:val="1"/>
      <w:numFmt w:val="decimal"/>
      <w:lvlText w:val="%1.%2.%3.%4.%5.%6.%7.%8"/>
      <w:lvlJc w:val="left"/>
      <w:pPr>
        <w:ind w:left="27990" w:hanging="2160"/>
      </w:pPr>
      <w:rPr>
        <w:rFonts w:hint="default"/>
      </w:rPr>
    </w:lvl>
    <w:lvl w:ilvl="8">
      <w:start w:val="1"/>
      <w:numFmt w:val="decimal"/>
      <w:lvlText w:val="%1.%2.%3.%4.%5.%6.%7.%8.%9"/>
      <w:lvlJc w:val="left"/>
      <w:pPr>
        <w:ind w:left="32040" w:hanging="2520"/>
      </w:pPr>
      <w:rPr>
        <w:rFonts w:hint="default"/>
      </w:rPr>
    </w:lvl>
  </w:abstractNum>
  <w:abstractNum w:abstractNumId="12" w15:restartNumberingAfterBreak="0">
    <w:nsid w:val="39523EDE"/>
    <w:multiLevelType w:val="hybridMultilevel"/>
    <w:tmpl w:val="A066DA5A"/>
    <w:lvl w:ilvl="0" w:tplc="2976FFCA">
      <w:start w:val="1"/>
      <w:numFmt w:val="decimal"/>
      <w:lvlText w:val="%1."/>
      <w:lvlJc w:val="left"/>
      <w:pPr>
        <w:ind w:left="1008" w:hanging="360"/>
      </w:pPr>
      <w:rPr>
        <w:rFonts w:asciiTheme="minorHAnsi" w:eastAsia="Times" w:hAnsiTheme="minorHAnsi" w:cs="Times New Roman"/>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9A0769B"/>
    <w:multiLevelType w:val="hybridMultilevel"/>
    <w:tmpl w:val="CBD896D2"/>
    <w:lvl w:ilvl="0" w:tplc="2F9275D4">
      <w:start w:val="1"/>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D7196"/>
    <w:multiLevelType w:val="hybridMultilevel"/>
    <w:tmpl w:val="E2D828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0A1D57"/>
    <w:multiLevelType w:val="multilevel"/>
    <w:tmpl w:val="D8D61050"/>
    <w:lvl w:ilvl="0">
      <w:start w:val="1"/>
      <w:numFmt w:val="upperLetter"/>
      <w:pStyle w:val="Appendixlevel2"/>
      <w:lvlText w:val="Appendix %1."/>
      <w:lvlJc w:val="left"/>
      <w:pPr>
        <w:tabs>
          <w:tab w:val="num" w:pos="2304"/>
        </w:tabs>
        <w:ind w:left="432" w:hanging="432"/>
      </w:pPr>
      <w:rPr>
        <w:rFonts w:hint="default"/>
      </w:rPr>
    </w:lvl>
    <w:lvl w:ilvl="1">
      <w:start w:val="1"/>
      <w:numFmt w:val="decimal"/>
      <w:pStyle w:val="Appendixlevel2"/>
      <w:lvlText w:val="%1.%2"/>
      <w:lvlJc w:val="left"/>
      <w:pPr>
        <w:tabs>
          <w:tab w:val="num" w:pos="792"/>
        </w:tabs>
        <w:ind w:left="576" w:hanging="576"/>
      </w:pPr>
      <w:rPr>
        <w:rFonts w:hint="default"/>
      </w:rPr>
    </w:lvl>
    <w:lvl w:ilvl="2">
      <w:start w:val="1"/>
      <w:numFmt w:val="decimal"/>
      <w:lvlText w:val="%1.%2.%3."/>
      <w:lvlJc w:val="left"/>
      <w:pPr>
        <w:tabs>
          <w:tab w:val="num" w:pos="936"/>
        </w:tabs>
        <w:ind w:left="720" w:hanging="720"/>
      </w:pPr>
      <w:rPr>
        <w:rFonts w:hint="default"/>
        <w:sz w:val="26"/>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ABC496E"/>
    <w:multiLevelType w:val="multilevel"/>
    <w:tmpl w:val="FC3078E0"/>
    <w:lvl w:ilvl="0">
      <w:start w:val="1"/>
      <w:numFmt w:val="upperLetter"/>
      <w:pStyle w:val="Appendix"/>
      <w:lvlText w:val="Appendix %1."/>
      <w:lvlJc w:val="left"/>
      <w:pPr>
        <w:tabs>
          <w:tab w:val="num" w:pos="2304"/>
        </w:tabs>
        <w:ind w:left="432" w:hanging="432"/>
      </w:pPr>
      <w:rPr>
        <w:rFonts w:hint="default"/>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86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EA71DD4"/>
    <w:multiLevelType w:val="multilevel"/>
    <w:tmpl w:val="092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A3B9B"/>
    <w:multiLevelType w:val="hybridMultilevel"/>
    <w:tmpl w:val="B026279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3C91FC1"/>
    <w:multiLevelType w:val="hybridMultilevel"/>
    <w:tmpl w:val="66702C18"/>
    <w:lvl w:ilvl="0" w:tplc="BE8C8BEC">
      <w:start w:val="1"/>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138E0"/>
    <w:multiLevelType w:val="hybridMultilevel"/>
    <w:tmpl w:val="0E8A4AF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A430EB3"/>
    <w:multiLevelType w:val="multilevel"/>
    <w:tmpl w:val="6BF07450"/>
    <w:lvl w:ilvl="0">
      <w:start w:val="1"/>
      <w:numFmt w:val="decimal"/>
      <w:pStyle w:val="Heading1"/>
      <w:lvlText w:val="Section %1."/>
      <w:lvlJc w:val="left"/>
      <w:pPr>
        <w:tabs>
          <w:tab w:val="num" w:pos="3060"/>
        </w:tabs>
        <w:ind w:left="1332" w:hanging="432"/>
      </w:pPr>
      <w:rPr>
        <w:rFonts w:hint="default"/>
      </w:rPr>
    </w:lvl>
    <w:lvl w:ilvl="1">
      <w:start w:val="1"/>
      <w:numFmt w:val="decimal"/>
      <w:pStyle w:val="Heading2"/>
      <w:lvlText w:val="%1.%2."/>
      <w:lvlJc w:val="left"/>
      <w:pPr>
        <w:tabs>
          <w:tab w:val="num" w:pos="4554"/>
        </w:tabs>
        <w:ind w:left="4266" w:hanging="576"/>
      </w:pPr>
      <w:rPr>
        <w:rFonts w:hint="default"/>
        <w:b/>
        <w:sz w:val="30"/>
        <w:szCs w:val="30"/>
      </w:rPr>
    </w:lvl>
    <w:lvl w:ilvl="2">
      <w:start w:val="1"/>
      <w:numFmt w:val="decimal"/>
      <w:pStyle w:val="Heading3"/>
      <w:lvlText w:val="%1.%2.%3."/>
      <w:lvlJc w:val="left"/>
      <w:pPr>
        <w:tabs>
          <w:tab w:val="num" w:pos="5526"/>
        </w:tabs>
        <w:ind w:left="5238" w:hanging="720"/>
      </w:pPr>
      <w:rPr>
        <w:rFonts w:ascii="Arial" w:hAnsi="Arial" w:cs="Arial" w:hint="default"/>
        <w:b/>
        <w:i w:val="0"/>
        <w:sz w:val="26"/>
        <w:szCs w:val="26"/>
      </w:rPr>
    </w:lvl>
    <w:lvl w:ilvl="3">
      <w:start w:val="1"/>
      <w:numFmt w:val="decimal"/>
      <w:lvlText w:val="%1.%2.%3.%4"/>
      <w:lvlJc w:val="left"/>
      <w:pPr>
        <w:tabs>
          <w:tab w:val="num" w:pos="-1278"/>
        </w:tabs>
        <w:ind w:left="-1278" w:hanging="864"/>
      </w:pPr>
      <w:rPr>
        <w:rFonts w:hint="default"/>
        <w:b/>
        <w:i w:val="0"/>
        <w:sz w:val="20"/>
        <w:szCs w:val="20"/>
      </w:rPr>
    </w:lvl>
    <w:lvl w:ilvl="4">
      <w:start w:val="1"/>
      <w:numFmt w:val="decimal"/>
      <w:lvlText w:val="%1.%2.%3.%4.%5"/>
      <w:lvlJc w:val="left"/>
      <w:pPr>
        <w:tabs>
          <w:tab w:val="num" w:pos="-1134"/>
        </w:tabs>
        <w:ind w:left="-1134" w:hanging="1008"/>
      </w:pPr>
      <w:rPr>
        <w:rFonts w:hint="default"/>
      </w:rPr>
    </w:lvl>
    <w:lvl w:ilvl="5">
      <w:start w:val="1"/>
      <w:numFmt w:val="decimal"/>
      <w:lvlText w:val="%1.%2.%3.%4.%5.%6"/>
      <w:lvlJc w:val="left"/>
      <w:pPr>
        <w:tabs>
          <w:tab w:val="num" w:pos="-990"/>
        </w:tabs>
        <w:ind w:left="-990" w:hanging="1152"/>
      </w:pPr>
      <w:rPr>
        <w:rFonts w:hint="default"/>
      </w:rPr>
    </w:lvl>
    <w:lvl w:ilvl="6">
      <w:start w:val="1"/>
      <w:numFmt w:val="decimal"/>
      <w:lvlText w:val="%1.%2.%3.%4.%5.%6.%7"/>
      <w:lvlJc w:val="left"/>
      <w:pPr>
        <w:tabs>
          <w:tab w:val="num" w:pos="-846"/>
        </w:tabs>
        <w:ind w:left="-846" w:hanging="1296"/>
      </w:pPr>
      <w:rPr>
        <w:rFonts w:hint="default"/>
      </w:rPr>
    </w:lvl>
    <w:lvl w:ilvl="7">
      <w:start w:val="1"/>
      <w:numFmt w:val="decimal"/>
      <w:lvlText w:val="%1.%2.%3.%4.%5.%6.%7.%8"/>
      <w:lvlJc w:val="left"/>
      <w:pPr>
        <w:tabs>
          <w:tab w:val="num" w:pos="-702"/>
        </w:tabs>
        <w:ind w:left="-702" w:hanging="1440"/>
      </w:pPr>
      <w:rPr>
        <w:rFonts w:hint="default"/>
      </w:rPr>
    </w:lvl>
    <w:lvl w:ilvl="8">
      <w:start w:val="1"/>
      <w:numFmt w:val="decimal"/>
      <w:lvlText w:val="%1.%2.%3.%4.%5.%6.%7.%8.%9"/>
      <w:lvlJc w:val="left"/>
      <w:pPr>
        <w:tabs>
          <w:tab w:val="num" w:pos="-558"/>
        </w:tabs>
        <w:ind w:left="-558" w:hanging="1584"/>
      </w:pPr>
      <w:rPr>
        <w:rFonts w:hint="default"/>
      </w:rPr>
    </w:lvl>
  </w:abstractNum>
  <w:abstractNum w:abstractNumId="22" w15:restartNumberingAfterBreak="0">
    <w:nsid w:val="61135E92"/>
    <w:multiLevelType w:val="hybridMultilevel"/>
    <w:tmpl w:val="98E62B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2AC29C4"/>
    <w:multiLevelType w:val="hybridMultilevel"/>
    <w:tmpl w:val="FC18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77C0F"/>
    <w:multiLevelType w:val="hybridMultilevel"/>
    <w:tmpl w:val="4EC07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5A355A"/>
    <w:multiLevelType w:val="hybridMultilevel"/>
    <w:tmpl w:val="06A8D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33B71"/>
    <w:multiLevelType w:val="hybridMultilevel"/>
    <w:tmpl w:val="B9F45056"/>
    <w:lvl w:ilvl="0" w:tplc="E5F2F598">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16"/>
  </w:num>
  <w:num w:numId="4">
    <w:abstractNumId w:val="10"/>
  </w:num>
  <w:num w:numId="5">
    <w:abstractNumId w:val="7"/>
  </w:num>
  <w:num w:numId="6">
    <w:abstractNumId w:val="20"/>
  </w:num>
  <w:num w:numId="7">
    <w:abstractNumId w:val="17"/>
  </w:num>
  <w:num w:numId="8">
    <w:abstractNumId w:val="4"/>
  </w:num>
  <w:num w:numId="9">
    <w:abstractNumId w:val="3"/>
  </w:num>
  <w:num w:numId="10">
    <w:abstractNumId w:val="23"/>
  </w:num>
  <w:num w:numId="11">
    <w:abstractNumId w:val="2"/>
  </w:num>
  <w:num w:numId="12">
    <w:abstractNumId w:val="1"/>
  </w:num>
  <w:num w:numId="13">
    <w:abstractNumId w:val="18"/>
  </w:num>
  <w:num w:numId="14">
    <w:abstractNumId w:val="9"/>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0"/>
  </w:num>
  <w:num w:numId="20">
    <w:abstractNumId w:val="25"/>
  </w:num>
  <w:num w:numId="21">
    <w:abstractNumId w:val="6"/>
  </w:num>
  <w:num w:numId="22">
    <w:abstractNumId w:val="13"/>
  </w:num>
  <w:num w:numId="23">
    <w:abstractNumId w:val="19"/>
  </w:num>
  <w:num w:numId="24">
    <w:abstractNumId w:val="14"/>
  </w:num>
  <w:num w:numId="25">
    <w:abstractNumId w:val="24"/>
  </w:num>
  <w:num w:numId="26">
    <w:abstractNumId w:val="26"/>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BC"/>
    <w:rsid w:val="0000031A"/>
    <w:rsid w:val="00000FF9"/>
    <w:rsid w:val="0000250E"/>
    <w:rsid w:val="00004278"/>
    <w:rsid w:val="00004B1C"/>
    <w:rsid w:val="0000658C"/>
    <w:rsid w:val="00011939"/>
    <w:rsid w:val="000135B6"/>
    <w:rsid w:val="00031426"/>
    <w:rsid w:val="00031B81"/>
    <w:rsid w:val="000331F5"/>
    <w:rsid w:val="00035F6F"/>
    <w:rsid w:val="000431C7"/>
    <w:rsid w:val="00051388"/>
    <w:rsid w:val="000516CC"/>
    <w:rsid w:val="00060C95"/>
    <w:rsid w:val="00066489"/>
    <w:rsid w:val="00067D34"/>
    <w:rsid w:val="0007225F"/>
    <w:rsid w:val="00077EE5"/>
    <w:rsid w:val="00082085"/>
    <w:rsid w:val="00083B30"/>
    <w:rsid w:val="000849F4"/>
    <w:rsid w:val="00086F8C"/>
    <w:rsid w:val="00091E9E"/>
    <w:rsid w:val="00095F2E"/>
    <w:rsid w:val="000A3619"/>
    <w:rsid w:val="000A3C99"/>
    <w:rsid w:val="000A74E1"/>
    <w:rsid w:val="000D19F3"/>
    <w:rsid w:val="000D360E"/>
    <w:rsid w:val="000D558D"/>
    <w:rsid w:val="000F091D"/>
    <w:rsid w:val="000F4C9A"/>
    <w:rsid w:val="000F5CE8"/>
    <w:rsid w:val="00100C06"/>
    <w:rsid w:val="00104EDE"/>
    <w:rsid w:val="00106B77"/>
    <w:rsid w:val="00113127"/>
    <w:rsid w:val="00114775"/>
    <w:rsid w:val="00117378"/>
    <w:rsid w:val="00123540"/>
    <w:rsid w:val="001253FB"/>
    <w:rsid w:val="0013120D"/>
    <w:rsid w:val="00142849"/>
    <w:rsid w:val="00142F74"/>
    <w:rsid w:val="0014784A"/>
    <w:rsid w:val="001501E9"/>
    <w:rsid w:val="00150F02"/>
    <w:rsid w:val="001519A6"/>
    <w:rsid w:val="00153B4F"/>
    <w:rsid w:val="00160879"/>
    <w:rsid w:val="00163CA0"/>
    <w:rsid w:val="001642F7"/>
    <w:rsid w:val="00164783"/>
    <w:rsid w:val="00174FE9"/>
    <w:rsid w:val="00184958"/>
    <w:rsid w:val="00184A62"/>
    <w:rsid w:val="00190410"/>
    <w:rsid w:val="00196B48"/>
    <w:rsid w:val="001A57A0"/>
    <w:rsid w:val="001A6B94"/>
    <w:rsid w:val="001B2B17"/>
    <w:rsid w:val="001B3344"/>
    <w:rsid w:val="001B4F68"/>
    <w:rsid w:val="001B5168"/>
    <w:rsid w:val="001C3DBE"/>
    <w:rsid w:val="001C5197"/>
    <w:rsid w:val="001C6C67"/>
    <w:rsid w:val="001D0709"/>
    <w:rsid w:val="001D2B55"/>
    <w:rsid w:val="001D332E"/>
    <w:rsid w:val="001F0AD6"/>
    <w:rsid w:val="00207779"/>
    <w:rsid w:val="00223DD3"/>
    <w:rsid w:val="00234B61"/>
    <w:rsid w:val="00236B53"/>
    <w:rsid w:val="00242C7E"/>
    <w:rsid w:val="00256AC9"/>
    <w:rsid w:val="00257B31"/>
    <w:rsid w:val="0026001C"/>
    <w:rsid w:val="002643B1"/>
    <w:rsid w:val="00272F8B"/>
    <w:rsid w:val="002730EF"/>
    <w:rsid w:val="002761A7"/>
    <w:rsid w:val="002856C9"/>
    <w:rsid w:val="00292DA5"/>
    <w:rsid w:val="002A65CD"/>
    <w:rsid w:val="002B219E"/>
    <w:rsid w:val="002B3D3D"/>
    <w:rsid w:val="002B6E15"/>
    <w:rsid w:val="002B7BBD"/>
    <w:rsid w:val="002C04F5"/>
    <w:rsid w:val="002C165D"/>
    <w:rsid w:val="002C6262"/>
    <w:rsid w:val="002D3DD3"/>
    <w:rsid w:val="002D4E95"/>
    <w:rsid w:val="002D6084"/>
    <w:rsid w:val="002E3219"/>
    <w:rsid w:val="002E35C7"/>
    <w:rsid w:val="002E41E2"/>
    <w:rsid w:val="002E443A"/>
    <w:rsid w:val="002E4FC1"/>
    <w:rsid w:val="002F00D1"/>
    <w:rsid w:val="002F5359"/>
    <w:rsid w:val="002F7B8C"/>
    <w:rsid w:val="003011DB"/>
    <w:rsid w:val="00330674"/>
    <w:rsid w:val="00344197"/>
    <w:rsid w:val="003509F8"/>
    <w:rsid w:val="00353E7C"/>
    <w:rsid w:val="00361768"/>
    <w:rsid w:val="00361FE4"/>
    <w:rsid w:val="00363078"/>
    <w:rsid w:val="0036653C"/>
    <w:rsid w:val="00370E76"/>
    <w:rsid w:val="00372914"/>
    <w:rsid w:val="003802D2"/>
    <w:rsid w:val="00381AB2"/>
    <w:rsid w:val="00383E41"/>
    <w:rsid w:val="0038440F"/>
    <w:rsid w:val="003A0153"/>
    <w:rsid w:val="003A19B3"/>
    <w:rsid w:val="003A1E65"/>
    <w:rsid w:val="003A449E"/>
    <w:rsid w:val="003B1EDC"/>
    <w:rsid w:val="003B52C5"/>
    <w:rsid w:val="003B6B20"/>
    <w:rsid w:val="003D30D4"/>
    <w:rsid w:val="003D74E4"/>
    <w:rsid w:val="003E1EAA"/>
    <w:rsid w:val="003E24F5"/>
    <w:rsid w:val="003E56EF"/>
    <w:rsid w:val="003E6C2B"/>
    <w:rsid w:val="00404933"/>
    <w:rsid w:val="00420E85"/>
    <w:rsid w:val="0042382D"/>
    <w:rsid w:val="004306E1"/>
    <w:rsid w:val="00440732"/>
    <w:rsid w:val="00441E14"/>
    <w:rsid w:val="00443FE2"/>
    <w:rsid w:val="0044494A"/>
    <w:rsid w:val="00445331"/>
    <w:rsid w:val="00446784"/>
    <w:rsid w:val="00447C27"/>
    <w:rsid w:val="004542CA"/>
    <w:rsid w:val="00460B00"/>
    <w:rsid w:val="0046234B"/>
    <w:rsid w:val="00466D18"/>
    <w:rsid w:val="004678E0"/>
    <w:rsid w:val="00473194"/>
    <w:rsid w:val="004741B5"/>
    <w:rsid w:val="0048144A"/>
    <w:rsid w:val="004817AC"/>
    <w:rsid w:val="00483C41"/>
    <w:rsid w:val="0048676D"/>
    <w:rsid w:val="004872E0"/>
    <w:rsid w:val="00487319"/>
    <w:rsid w:val="0048799D"/>
    <w:rsid w:val="00492EFD"/>
    <w:rsid w:val="00494A0D"/>
    <w:rsid w:val="004A0FB3"/>
    <w:rsid w:val="004A4404"/>
    <w:rsid w:val="004A5F17"/>
    <w:rsid w:val="004A769E"/>
    <w:rsid w:val="004B1682"/>
    <w:rsid w:val="004B7D76"/>
    <w:rsid w:val="004C62F9"/>
    <w:rsid w:val="004C7B51"/>
    <w:rsid w:val="004D1035"/>
    <w:rsid w:val="004D1A6C"/>
    <w:rsid w:val="004D280D"/>
    <w:rsid w:val="004D4464"/>
    <w:rsid w:val="004D7165"/>
    <w:rsid w:val="004E0592"/>
    <w:rsid w:val="004F215C"/>
    <w:rsid w:val="004F2E40"/>
    <w:rsid w:val="00501976"/>
    <w:rsid w:val="005029ED"/>
    <w:rsid w:val="005050CA"/>
    <w:rsid w:val="00505E1B"/>
    <w:rsid w:val="00510007"/>
    <w:rsid w:val="005133EB"/>
    <w:rsid w:val="00516A79"/>
    <w:rsid w:val="00521B7F"/>
    <w:rsid w:val="00527171"/>
    <w:rsid w:val="005346D6"/>
    <w:rsid w:val="00535FBC"/>
    <w:rsid w:val="00551EC3"/>
    <w:rsid w:val="005538CB"/>
    <w:rsid w:val="00557125"/>
    <w:rsid w:val="00560BF0"/>
    <w:rsid w:val="00563493"/>
    <w:rsid w:val="00564569"/>
    <w:rsid w:val="00567698"/>
    <w:rsid w:val="0057386F"/>
    <w:rsid w:val="00574649"/>
    <w:rsid w:val="00576EE2"/>
    <w:rsid w:val="00577DB1"/>
    <w:rsid w:val="005808A9"/>
    <w:rsid w:val="00582928"/>
    <w:rsid w:val="0058299A"/>
    <w:rsid w:val="00597BC6"/>
    <w:rsid w:val="005B21CD"/>
    <w:rsid w:val="005B50E4"/>
    <w:rsid w:val="005B63C6"/>
    <w:rsid w:val="005B699C"/>
    <w:rsid w:val="005B70DF"/>
    <w:rsid w:val="005C1C78"/>
    <w:rsid w:val="005D1749"/>
    <w:rsid w:val="005D384F"/>
    <w:rsid w:val="005D39E5"/>
    <w:rsid w:val="005D48CB"/>
    <w:rsid w:val="005E4930"/>
    <w:rsid w:val="005E4A80"/>
    <w:rsid w:val="005F08EB"/>
    <w:rsid w:val="005F0D24"/>
    <w:rsid w:val="005F4E7E"/>
    <w:rsid w:val="005F6C72"/>
    <w:rsid w:val="00613A0B"/>
    <w:rsid w:val="00616F87"/>
    <w:rsid w:val="00617FD6"/>
    <w:rsid w:val="00622B61"/>
    <w:rsid w:val="00625E94"/>
    <w:rsid w:val="00632B92"/>
    <w:rsid w:val="00644CEB"/>
    <w:rsid w:val="0064596B"/>
    <w:rsid w:val="0064775D"/>
    <w:rsid w:val="00653AA4"/>
    <w:rsid w:val="00655833"/>
    <w:rsid w:val="00656F06"/>
    <w:rsid w:val="00660246"/>
    <w:rsid w:val="00663BEB"/>
    <w:rsid w:val="006749D1"/>
    <w:rsid w:val="0067571E"/>
    <w:rsid w:val="00691782"/>
    <w:rsid w:val="00694E2F"/>
    <w:rsid w:val="00695A67"/>
    <w:rsid w:val="006A2304"/>
    <w:rsid w:val="006A5893"/>
    <w:rsid w:val="006C0D7D"/>
    <w:rsid w:val="006C4A73"/>
    <w:rsid w:val="006C50EB"/>
    <w:rsid w:val="006D387B"/>
    <w:rsid w:val="006D3E5C"/>
    <w:rsid w:val="006D3EF9"/>
    <w:rsid w:val="006D527F"/>
    <w:rsid w:val="006E5CD8"/>
    <w:rsid w:val="006E6E0A"/>
    <w:rsid w:val="006F30AC"/>
    <w:rsid w:val="006F43FE"/>
    <w:rsid w:val="00702F78"/>
    <w:rsid w:val="00704D56"/>
    <w:rsid w:val="00705153"/>
    <w:rsid w:val="00705FE0"/>
    <w:rsid w:val="00706380"/>
    <w:rsid w:val="00716C1B"/>
    <w:rsid w:val="00720717"/>
    <w:rsid w:val="0072369D"/>
    <w:rsid w:val="007258CC"/>
    <w:rsid w:val="007315EB"/>
    <w:rsid w:val="0073489B"/>
    <w:rsid w:val="00734C4B"/>
    <w:rsid w:val="00734EB8"/>
    <w:rsid w:val="00735BF8"/>
    <w:rsid w:val="007561CE"/>
    <w:rsid w:val="0075687B"/>
    <w:rsid w:val="00761C6F"/>
    <w:rsid w:val="00776E3E"/>
    <w:rsid w:val="00777A6D"/>
    <w:rsid w:val="007807E0"/>
    <w:rsid w:val="00780E2B"/>
    <w:rsid w:val="00784803"/>
    <w:rsid w:val="00787990"/>
    <w:rsid w:val="00793BE6"/>
    <w:rsid w:val="00794206"/>
    <w:rsid w:val="00797E46"/>
    <w:rsid w:val="007A06F4"/>
    <w:rsid w:val="007A16C5"/>
    <w:rsid w:val="007B0372"/>
    <w:rsid w:val="007C35B3"/>
    <w:rsid w:val="007C53D1"/>
    <w:rsid w:val="007C719A"/>
    <w:rsid w:val="007D16D0"/>
    <w:rsid w:val="007D372B"/>
    <w:rsid w:val="007E7989"/>
    <w:rsid w:val="007F0260"/>
    <w:rsid w:val="007F1786"/>
    <w:rsid w:val="007F2D54"/>
    <w:rsid w:val="007F5A87"/>
    <w:rsid w:val="00802FEC"/>
    <w:rsid w:val="0081039E"/>
    <w:rsid w:val="00811496"/>
    <w:rsid w:val="00814EF1"/>
    <w:rsid w:val="00821C61"/>
    <w:rsid w:val="008233F5"/>
    <w:rsid w:val="00826066"/>
    <w:rsid w:val="00830910"/>
    <w:rsid w:val="00832DB0"/>
    <w:rsid w:val="00834AD1"/>
    <w:rsid w:val="008376F7"/>
    <w:rsid w:val="00842573"/>
    <w:rsid w:val="0084345D"/>
    <w:rsid w:val="008459C1"/>
    <w:rsid w:val="008476B9"/>
    <w:rsid w:val="0086585D"/>
    <w:rsid w:val="00872265"/>
    <w:rsid w:val="00875A9B"/>
    <w:rsid w:val="008767F9"/>
    <w:rsid w:val="00882AA7"/>
    <w:rsid w:val="00883D08"/>
    <w:rsid w:val="00891545"/>
    <w:rsid w:val="008A6A62"/>
    <w:rsid w:val="008A6F2D"/>
    <w:rsid w:val="008B2EEE"/>
    <w:rsid w:val="008B3B1C"/>
    <w:rsid w:val="008D4660"/>
    <w:rsid w:val="008E53DC"/>
    <w:rsid w:val="008F5156"/>
    <w:rsid w:val="008F5837"/>
    <w:rsid w:val="00904A58"/>
    <w:rsid w:val="0091509C"/>
    <w:rsid w:val="00916AEF"/>
    <w:rsid w:val="00927355"/>
    <w:rsid w:val="00935DB7"/>
    <w:rsid w:val="009362D1"/>
    <w:rsid w:val="00941EC4"/>
    <w:rsid w:val="00945AEF"/>
    <w:rsid w:val="0095074D"/>
    <w:rsid w:val="00951406"/>
    <w:rsid w:val="00953A1A"/>
    <w:rsid w:val="00966059"/>
    <w:rsid w:val="00967128"/>
    <w:rsid w:val="009679B8"/>
    <w:rsid w:val="009715BB"/>
    <w:rsid w:val="009758AF"/>
    <w:rsid w:val="009A31BA"/>
    <w:rsid w:val="009A497B"/>
    <w:rsid w:val="009A5121"/>
    <w:rsid w:val="009C0CAF"/>
    <w:rsid w:val="009C1655"/>
    <w:rsid w:val="009D0BCF"/>
    <w:rsid w:val="009D347E"/>
    <w:rsid w:val="009D4B01"/>
    <w:rsid w:val="009F30CA"/>
    <w:rsid w:val="009F52C0"/>
    <w:rsid w:val="009F54C3"/>
    <w:rsid w:val="00A015B3"/>
    <w:rsid w:val="00A033D3"/>
    <w:rsid w:val="00A04879"/>
    <w:rsid w:val="00A10E0D"/>
    <w:rsid w:val="00A120FF"/>
    <w:rsid w:val="00A20D7F"/>
    <w:rsid w:val="00A30A7A"/>
    <w:rsid w:val="00A315E5"/>
    <w:rsid w:val="00A31B64"/>
    <w:rsid w:val="00A32F58"/>
    <w:rsid w:val="00A36A4D"/>
    <w:rsid w:val="00A467B2"/>
    <w:rsid w:val="00A46DC1"/>
    <w:rsid w:val="00A4735F"/>
    <w:rsid w:val="00A530B3"/>
    <w:rsid w:val="00A55753"/>
    <w:rsid w:val="00A571AF"/>
    <w:rsid w:val="00A66A95"/>
    <w:rsid w:val="00A66EBD"/>
    <w:rsid w:val="00A823F2"/>
    <w:rsid w:val="00A83572"/>
    <w:rsid w:val="00AA3434"/>
    <w:rsid w:val="00AA71DA"/>
    <w:rsid w:val="00AB115B"/>
    <w:rsid w:val="00AB36B2"/>
    <w:rsid w:val="00AC34CF"/>
    <w:rsid w:val="00AD5E02"/>
    <w:rsid w:val="00AE027F"/>
    <w:rsid w:val="00AE3146"/>
    <w:rsid w:val="00AE47D4"/>
    <w:rsid w:val="00AF0F5F"/>
    <w:rsid w:val="00B062ED"/>
    <w:rsid w:val="00B13335"/>
    <w:rsid w:val="00B26507"/>
    <w:rsid w:val="00B26E63"/>
    <w:rsid w:val="00B42216"/>
    <w:rsid w:val="00B42FFF"/>
    <w:rsid w:val="00B457D4"/>
    <w:rsid w:val="00B5112C"/>
    <w:rsid w:val="00B55FD1"/>
    <w:rsid w:val="00B702AA"/>
    <w:rsid w:val="00B8048F"/>
    <w:rsid w:val="00B82A60"/>
    <w:rsid w:val="00B96BCB"/>
    <w:rsid w:val="00BA2871"/>
    <w:rsid w:val="00BA59CE"/>
    <w:rsid w:val="00BB2622"/>
    <w:rsid w:val="00BC11CD"/>
    <w:rsid w:val="00BD2CA1"/>
    <w:rsid w:val="00BE5E33"/>
    <w:rsid w:val="00C006F1"/>
    <w:rsid w:val="00C00879"/>
    <w:rsid w:val="00C00FB5"/>
    <w:rsid w:val="00C0271D"/>
    <w:rsid w:val="00C24530"/>
    <w:rsid w:val="00C24AC2"/>
    <w:rsid w:val="00C24F23"/>
    <w:rsid w:val="00C31236"/>
    <w:rsid w:val="00C31603"/>
    <w:rsid w:val="00C4075C"/>
    <w:rsid w:val="00C45AC6"/>
    <w:rsid w:val="00C46DD7"/>
    <w:rsid w:val="00C46F24"/>
    <w:rsid w:val="00C50C9B"/>
    <w:rsid w:val="00C52B66"/>
    <w:rsid w:val="00C555F2"/>
    <w:rsid w:val="00C60073"/>
    <w:rsid w:val="00C67D15"/>
    <w:rsid w:val="00C76060"/>
    <w:rsid w:val="00C823F2"/>
    <w:rsid w:val="00C87535"/>
    <w:rsid w:val="00C91701"/>
    <w:rsid w:val="00C91D5E"/>
    <w:rsid w:val="00C95AD5"/>
    <w:rsid w:val="00C96F5E"/>
    <w:rsid w:val="00CA15C7"/>
    <w:rsid w:val="00CA22B4"/>
    <w:rsid w:val="00CA401B"/>
    <w:rsid w:val="00CA4A04"/>
    <w:rsid w:val="00CA5609"/>
    <w:rsid w:val="00CA76F6"/>
    <w:rsid w:val="00CC2B97"/>
    <w:rsid w:val="00CF2595"/>
    <w:rsid w:val="00CF2C89"/>
    <w:rsid w:val="00CF749E"/>
    <w:rsid w:val="00CF754B"/>
    <w:rsid w:val="00D017B9"/>
    <w:rsid w:val="00D0335A"/>
    <w:rsid w:val="00D04AD8"/>
    <w:rsid w:val="00D06329"/>
    <w:rsid w:val="00D20360"/>
    <w:rsid w:val="00D20D43"/>
    <w:rsid w:val="00D21459"/>
    <w:rsid w:val="00D36D1B"/>
    <w:rsid w:val="00D4178F"/>
    <w:rsid w:val="00D45357"/>
    <w:rsid w:val="00D53D1A"/>
    <w:rsid w:val="00D54CD0"/>
    <w:rsid w:val="00D60A1A"/>
    <w:rsid w:val="00D61768"/>
    <w:rsid w:val="00D655D2"/>
    <w:rsid w:val="00D736F3"/>
    <w:rsid w:val="00D82626"/>
    <w:rsid w:val="00D84567"/>
    <w:rsid w:val="00D9039E"/>
    <w:rsid w:val="00D90E35"/>
    <w:rsid w:val="00D95A67"/>
    <w:rsid w:val="00DB42A2"/>
    <w:rsid w:val="00DB7DA1"/>
    <w:rsid w:val="00DC34FB"/>
    <w:rsid w:val="00DD0110"/>
    <w:rsid w:val="00DD162C"/>
    <w:rsid w:val="00DD26BE"/>
    <w:rsid w:val="00DD7565"/>
    <w:rsid w:val="00DD7CB7"/>
    <w:rsid w:val="00DE20D0"/>
    <w:rsid w:val="00DF69AC"/>
    <w:rsid w:val="00E02FB7"/>
    <w:rsid w:val="00E0482D"/>
    <w:rsid w:val="00E05026"/>
    <w:rsid w:val="00E12210"/>
    <w:rsid w:val="00E142A6"/>
    <w:rsid w:val="00E35ED2"/>
    <w:rsid w:val="00E37699"/>
    <w:rsid w:val="00E42C54"/>
    <w:rsid w:val="00E45922"/>
    <w:rsid w:val="00E52461"/>
    <w:rsid w:val="00E5356C"/>
    <w:rsid w:val="00E54863"/>
    <w:rsid w:val="00E60DAE"/>
    <w:rsid w:val="00E7112E"/>
    <w:rsid w:val="00E71CF0"/>
    <w:rsid w:val="00E72BAF"/>
    <w:rsid w:val="00E80A05"/>
    <w:rsid w:val="00E861E8"/>
    <w:rsid w:val="00E95B91"/>
    <w:rsid w:val="00EB263A"/>
    <w:rsid w:val="00EB5F01"/>
    <w:rsid w:val="00EC2A2C"/>
    <w:rsid w:val="00EE1C66"/>
    <w:rsid w:val="00EE64D0"/>
    <w:rsid w:val="00EF0690"/>
    <w:rsid w:val="00F00D72"/>
    <w:rsid w:val="00F0531F"/>
    <w:rsid w:val="00F20337"/>
    <w:rsid w:val="00F31660"/>
    <w:rsid w:val="00F31990"/>
    <w:rsid w:val="00F50282"/>
    <w:rsid w:val="00F5079F"/>
    <w:rsid w:val="00F52060"/>
    <w:rsid w:val="00F53A1F"/>
    <w:rsid w:val="00F56002"/>
    <w:rsid w:val="00F66704"/>
    <w:rsid w:val="00F6718E"/>
    <w:rsid w:val="00F74A6E"/>
    <w:rsid w:val="00F810C4"/>
    <w:rsid w:val="00F863F3"/>
    <w:rsid w:val="00F868B4"/>
    <w:rsid w:val="00F95723"/>
    <w:rsid w:val="00F96CE5"/>
    <w:rsid w:val="00FA027D"/>
    <w:rsid w:val="00FA0914"/>
    <w:rsid w:val="00FA1E26"/>
    <w:rsid w:val="00FA5103"/>
    <w:rsid w:val="00FA5D1A"/>
    <w:rsid w:val="00FA6656"/>
    <w:rsid w:val="00FB259B"/>
    <w:rsid w:val="00FC5A94"/>
    <w:rsid w:val="00FD1C37"/>
    <w:rsid w:val="00FD64FF"/>
    <w:rsid w:val="00FE0503"/>
    <w:rsid w:val="00FE20D4"/>
    <w:rsid w:val="00FE3757"/>
    <w:rsid w:val="00FE5B61"/>
    <w:rsid w:val="00FF09D9"/>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80253"/>
  <w15:docId w15:val="{05B9F49D-11DE-44C4-9714-632C3B4C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5B3"/>
    <w:pPr>
      <w:tabs>
        <w:tab w:val="center" w:pos="4680"/>
      </w:tabs>
      <w:spacing w:after="120" w:line="240" w:lineRule="auto"/>
      <w:ind w:left="288"/>
    </w:pPr>
    <w:rPr>
      <w:rFonts w:eastAsia="Times" w:cs="Times New Roman"/>
      <w:szCs w:val="20"/>
    </w:rPr>
  </w:style>
  <w:style w:type="paragraph" w:styleId="Heading1">
    <w:name w:val="heading 1"/>
    <w:basedOn w:val="Normal"/>
    <w:next w:val="Normal"/>
    <w:link w:val="Heading1Char"/>
    <w:qFormat/>
    <w:rsid w:val="00106B77"/>
    <w:pPr>
      <w:keepNext/>
      <w:pageBreakBefore/>
      <w:numPr>
        <w:numId w:val="1"/>
      </w:numPr>
      <w:tabs>
        <w:tab w:val="clear" w:pos="3060"/>
        <w:tab w:val="clear" w:pos="4680"/>
        <w:tab w:val="num" w:pos="2160"/>
        <w:tab w:val="num" w:pos="2448"/>
      </w:tabs>
      <w:spacing w:after="360"/>
      <w:ind w:left="432"/>
      <w:outlineLvl w:val="0"/>
    </w:pPr>
    <w:rPr>
      <w:rFonts w:ascii="Arial" w:hAnsi="Arial"/>
      <w:color w:val="0070C0"/>
      <w:sz w:val="40"/>
      <w:szCs w:val="40"/>
    </w:rPr>
  </w:style>
  <w:style w:type="paragraph" w:styleId="Heading2">
    <w:name w:val="heading 2"/>
    <w:basedOn w:val="Normal"/>
    <w:next w:val="Normal"/>
    <w:link w:val="Heading2Char"/>
    <w:qFormat/>
    <w:rsid w:val="00106B77"/>
    <w:pPr>
      <w:keepNext/>
      <w:numPr>
        <w:ilvl w:val="1"/>
        <w:numId w:val="1"/>
      </w:numPr>
      <w:tabs>
        <w:tab w:val="clear" w:pos="4554"/>
        <w:tab w:val="num" w:pos="864"/>
        <w:tab w:val="num" w:pos="3492"/>
      </w:tabs>
      <w:spacing w:before="360"/>
      <w:ind w:left="576"/>
      <w:outlineLvl w:val="1"/>
    </w:pPr>
    <w:rPr>
      <w:rFonts w:ascii="Arial" w:hAnsi="Arial" w:cs="Arial"/>
      <w:b/>
      <w:bCs/>
      <w:iCs/>
      <w:color w:val="0070C0"/>
      <w:sz w:val="30"/>
      <w:szCs w:val="30"/>
    </w:rPr>
  </w:style>
  <w:style w:type="paragraph" w:styleId="Heading3">
    <w:name w:val="heading 3"/>
    <w:basedOn w:val="Normal"/>
    <w:next w:val="Normal"/>
    <w:link w:val="Heading3Char"/>
    <w:qFormat/>
    <w:rsid w:val="00557125"/>
    <w:pPr>
      <w:keepNext/>
      <w:numPr>
        <w:ilvl w:val="2"/>
        <w:numId w:val="1"/>
      </w:numPr>
      <w:spacing w:before="240"/>
      <w:ind w:left="720"/>
      <w:outlineLvl w:val="2"/>
    </w:pPr>
    <w:rPr>
      <w:rFonts w:ascii="Arial" w:hAnsi="Arial"/>
      <w:b/>
      <w:bCs/>
      <w:color w:val="0070C0"/>
      <w:sz w:val="26"/>
      <w:szCs w:val="26"/>
    </w:rPr>
  </w:style>
  <w:style w:type="paragraph" w:styleId="Heading4">
    <w:name w:val="heading 4"/>
    <w:basedOn w:val="Normal"/>
    <w:next w:val="Normal"/>
    <w:link w:val="Heading4Char"/>
    <w:qFormat/>
    <w:rsid w:val="00535FBC"/>
    <w:pPr>
      <w:keepNext/>
      <w:numPr>
        <w:ilvl w:val="3"/>
        <w:numId w:val="2"/>
      </w:numPr>
      <w:spacing w:before="240" w:after="60"/>
      <w:outlineLvl w:val="3"/>
    </w:pPr>
    <w:rPr>
      <w:rFonts w:ascii="Arial" w:hAnsi="Arial"/>
      <w:b/>
      <w:bCs/>
      <w:color w:val="2B85BB"/>
      <w:szCs w:val="22"/>
    </w:rPr>
  </w:style>
  <w:style w:type="paragraph" w:styleId="Heading5">
    <w:name w:val="heading 5"/>
    <w:basedOn w:val="Normal"/>
    <w:next w:val="Normal"/>
    <w:link w:val="Heading5Char"/>
    <w:qFormat/>
    <w:rsid w:val="00535FBC"/>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535FBC"/>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35FBC"/>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35FBC"/>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35FBC"/>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B77"/>
    <w:rPr>
      <w:rFonts w:ascii="Arial" w:eastAsia="Times" w:hAnsi="Arial" w:cs="Times New Roman"/>
      <w:color w:val="0070C0"/>
      <w:sz w:val="40"/>
      <w:szCs w:val="40"/>
    </w:rPr>
  </w:style>
  <w:style w:type="character" w:customStyle="1" w:styleId="Heading2Char">
    <w:name w:val="Heading 2 Char"/>
    <w:basedOn w:val="DefaultParagraphFont"/>
    <w:link w:val="Heading2"/>
    <w:rsid w:val="00106B77"/>
    <w:rPr>
      <w:rFonts w:ascii="Arial" w:eastAsia="Times" w:hAnsi="Arial" w:cs="Arial"/>
      <w:b/>
      <w:bCs/>
      <w:iCs/>
      <w:color w:val="0070C0"/>
      <w:sz w:val="30"/>
      <w:szCs w:val="30"/>
    </w:rPr>
  </w:style>
  <w:style w:type="character" w:customStyle="1" w:styleId="Heading3Char">
    <w:name w:val="Heading 3 Char"/>
    <w:basedOn w:val="DefaultParagraphFont"/>
    <w:link w:val="Heading3"/>
    <w:rsid w:val="00557125"/>
    <w:rPr>
      <w:rFonts w:ascii="Arial" w:eastAsia="Times" w:hAnsi="Arial" w:cs="Times New Roman"/>
      <w:b/>
      <w:bCs/>
      <w:color w:val="0070C0"/>
      <w:sz w:val="26"/>
      <w:szCs w:val="26"/>
    </w:rPr>
  </w:style>
  <w:style w:type="character" w:customStyle="1" w:styleId="Heading4Char">
    <w:name w:val="Heading 4 Char"/>
    <w:basedOn w:val="DefaultParagraphFont"/>
    <w:link w:val="Heading4"/>
    <w:rsid w:val="00535FBC"/>
    <w:rPr>
      <w:rFonts w:ascii="Arial" w:eastAsia="Times" w:hAnsi="Arial" w:cs="Times New Roman"/>
      <w:b/>
      <w:bCs/>
      <w:color w:val="2B85BB"/>
    </w:rPr>
  </w:style>
  <w:style w:type="character" w:customStyle="1" w:styleId="Heading5Char">
    <w:name w:val="Heading 5 Char"/>
    <w:basedOn w:val="DefaultParagraphFont"/>
    <w:link w:val="Heading5"/>
    <w:rsid w:val="00535FBC"/>
    <w:rPr>
      <w:rFonts w:ascii="Verdana" w:eastAsia="Times" w:hAnsi="Verdana" w:cs="Times New Roman"/>
      <w:b/>
      <w:bCs/>
      <w:i/>
      <w:iCs/>
      <w:sz w:val="26"/>
      <w:szCs w:val="26"/>
    </w:rPr>
  </w:style>
  <w:style w:type="character" w:customStyle="1" w:styleId="Heading6Char">
    <w:name w:val="Heading 6 Char"/>
    <w:basedOn w:val="DefaultParagraphFont"/>
    <w:link w:val="Heading6"/>
    <w:rsid w:val="00535FBC"/>
    <w:rPr>
      <w:rFonts w:ascii="Times New Roman" w:eastAsia="Times" w:hAnsi="Times New Roman" w:cs="Times New Roman"/>
      <w:b/>
      <w:bCs/>
    </w:rPr>
  </w:style>
  <w:style w:type="character" w:customStyle="1" w:styleId="Heading7Char">
    <w:name w:val="Heading 7 Char"/>
    <w:basedOn w:val="DefaultParagraphFont"/>
    <w:link w:val="Heading7"/>
    <w:rsid w:val="00535FBC"/>
    <w:rPr>
      <w:rFonts w:ascii="Times New Roman" w:eastAsia="Times" w:hAnsi="Times New Roman" w:cs="Times New Roman"/>
      <w:sz w:val="24"/>
      <w:szCs w:val="24"/>
    </w:rPr>
  </w:style>
  <w:style w:type="character" w:customStyle="1" w:styleId="Heading8Char">
    <w:name w:val="Heading 8 Char"/>
    <w:basedOn w:val="DefaultParagraphFont"/>
    <w:link w:val="Heading8"/>
    <w:rsid w:val="00535FBC"/>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535FBC"/>
    <w:rPr>
      <w:rFonts w:ascii="Arial" w:eastAsia="Times" w:hAnsi="Arial" w:cs="Arial"/>
    </w:rPr>
  </w:style>
  <w:style w:type="paragraph" w:styleId="Title">
    <w:name w:val="Title"/>
    <w:basedOn w:val="Normal"/>
    <w:next w:val="Subtitle"/>
    <w:link w:val="TitleChar"/>
    <w:qFormat/>
    <w:rsid w:val="00535FBC"/>
    <w:pPr>
      <w:spacing w:before="240" w:after="60"/>
      <w:jc w:val="center"/>
      <w:outlineLvl w:val="0"/>
    </w:pPr>
    <w:rPr>
      <w:rFonts w:cs="Arial"/>
      <w:b/>
      <w:bCs/>
      <w:kern w:val="28"/>
      <w:sz w:val="56"/>
      <w:szCs w:val="56"/>
    </w:rPr>
  </w:style>
  <w:style w:type="character" w:customStyle="1" w:styleId="TitleChar">
    <w:name w:val="Title Char"/>
    <w:basedOn w:val="DefaultParagraphFont"/>
    <w:link w:val="Title"/>
    <w:rsid w:val="00535FBC"/>
    <w:rPr>
      <w:rFonts w:ascii="Verdana" w:eastAsia="Times" w:hAnsi="Verdana" w:cs="Arial"/>
      <w:b/>
      <w:bCs/>
      <w:kern w:val="28"/>
      <w:sz w:val="56"/>
      <w:szCs w:val="56"/>
    </w:rPr>
  </w:style>
  <w:style w:type="paragraph" w:customStyle="1" w:styleId="LogoPlaceholder">
    <w:name w:val="Logo Placeholder"/>
    <w:basedOn w:val="Normal"/>
    <w:rsid w:val="00535FBC"/>
    <w:pPr>
      <w:spacing w:after="3000"/>
    </w:pPr>
  </w:style>
  <w:style w:type="paragraph" w:customStyle="1" w:styleId="DocumentInformation">
    <w:name w:val="Document Information"/>
    <w:rsid w:val="00535FBC"/>
    <w:pPr>
      <w:pBdr>
        <w:top w:val="single" w:sz="8" w:space="1" w:color="auto"/>
      </w:pBdr>
      <w:spacing w:after="120" w:line="240" w:lineRule="auto"/>
      <w:jc w:val="right"/>
    </w:pPr>
    <w:rPr>
      <w:rFonts w:ascii="Verdana" w:eastAsia="Times New Roman" w:hAnsi="Verdana" w:cs="Times New Roman"/>
      <w:color w:val="666699"/>
      <w:sz w:val="24"/>
      <w:szCs w:val="40"/>
    </w:rPr>
  </w:style>
  <w:style w:type="paragraph" w:customStyle="1" w:styleId="TeamName">
    <w:name w:val="Team Name"/>
    <w:basedOn w:val="Normal"/>
    <w:next w:val="Normal"/>
    <w:rsid w:val="00535FBC"/>
    <w:pPr>
      <w:keepNext/>
      <w:spacing w:after="80"/>
      <w:jc w:val="right"/>
      <w:outlineLvl w:val="0"/>
    </w:pPr>
    <w:rPr>
      <w:sz w:val="36"/>
      <w:szCs w:val="36"/>
    </w:rPr>
  </w:style>
  <w:style w:type="paragraph" w:customStyle="1" w:styleId="TableText">
    <w:name w:val="Table Text"/>
    <w:rsid w:val="00535FBC"/>
    <w:pPr>
      <w:spacing w:before="60" w:after="0" w:line="240" w:lineRule="auto"/>
    </w:pPr>
    <w:rPr>
      <w:rFonts w:ascii="Verdana" w:eastAsia="Times" w:hAnsi="Verdana" w:cs="Times New Roman"/>
      <w:sz w:val="18"/>
      <w:szCs w:val="20"/>
    </w:rPr>
  </w:style>
  <w:style w:type="paragraph" w:customStyle="1" w:styleId="Heading1TOC">
    <w:name w:val="Heading 1 TOC"/>
    <w:next w:val="Normal"/>
    <w:rsid w:val="00535FBC"/>
    <w:pPr>
      <w:keepNext/>
      <w:pageBreakBefore/>
      <w:spacing w:after="360" w:line="240" w:lineRule="auto"/>
    </w:pPr>
    <w:rPr>
      <w:rFonts w:ascii="Arial" w:eastAsia="Times" w:hAnsi="Arial" w:cs="Times New Roman"/>
      <w:color w:val="1D2675"/>
      <w:sz w:val="40"/>
      <w:szCs w:val="40"/>
    </w:rPr>
  </w:style>
  <w:style w:type="paragraph" w:styleId="TOC1">
    <w:name w:val="toc 1"/>
    <w:basedOn w:val="Normal"/>
    <w:next w:val="Normal"/>
    <w:autoRedefine/>
    <w:uiPriority w:val="39"/>
    <w:qFormat/>
    <w:rsid w:val="00535FBC"/>
    <w:pPr>
      <w:tabs>
        <w:tab w:val="clear" w:pos="4680"/>
        <w:tab w:val="left" w:pos="1680"/>
        <w:tab w:val="right" w:leader="dot" w:pos="10210"/>
      </w:tabs>
      <w:spacing w:before="60" w:after="0"/>
    </w:pPr>
    <w:rPr>
      <w:rFonts w:ascii="Arial" w:hAnsi="Arial"/>
      <w:b/>
      <w:sz w:val="24"/>
      <w:szCs w:val="24"/>
    </w:rPr>
  </w:style>
  <w:style w:type="paragraph" w:styleId="TOC2">
    <w:name w:val="toc 2"/>
    <w:basedOn w:val="Normal"/>
    <w:next w:val="Normal"/>
    <w:autoRedefine/>
    <w:uiPriority w:val="39"/>
    <w:qFormat/>
    <w:rsid w:val="00535FBC"/>
    <w:pPr>
      <w:tabs>
        <w:tab w:val="clear" w:pos="4680"/>
        <w:tab w:val="left" w:pos="1200"/>
        <w:tab w:val="right" w:leader="dot" w:pos="10210"/>
      </w:tabs>
      <w:spacing w:after="0"/>
      <w:ind w:left="432"/>
    </w:pPr>
    <w:rPr>
      <w:rFonts w:ascii="Arial" w:hAnsi="Arial"/>
      <w:noProof/>
      <w:szCs w:val="22"/>
    </w:rPr>
  </w:style>
  <w:style w:type="paragraph" w:styleId="TOC3">
    <w:name w:val="toc 3"/>
    <w:basedOn w:val="Normal"/>
    <w:next w:val="Normal"/>
    <w:autoRedefine/>
    <w:uiPriority w:val="39"/>
    <w:qFormat/>
    <w:rsid w:val="00535FBC"/>
    <w:pPr>
      <w:tabs>
        <w:tab w:val="clear" w:pos="4680"/>
        <w:tab w:val="right" w:leader="dot" w:pos="10210"/>
      </w:tabs>
      <w:spacing w:after="0"/>
      <w:ind w:left="432"/>
    </w:pPr>
    <w:rPr>
      <w:rFonts w:ascii="Arial" w:hAnsi="Arial"/>
      <w:i/>
    </w:rPr>
  </w:style>
  <w:style w:type="paragraph" w:styleId="Header">
    <w:name w:val="header"/>
    <w:basedOn w:val="Normal"/>
    <w:link w:val="HeaderChar"/>
    <w:rsid w:val="00535FBC"/>
    <w:pPr>
      <w:tabs>
        <w:tab w:val="clear" w:pos="4680"/>
        <w:tab w:val="center" w:pos="4320"/>
        <w:tab w:val="right" w:pos="8640"/>
      </w:tabs>
      <w:ind w:left="-288"/>
    </w:pPr>
  </w:style>
  <w:style w:type="character" w:customStyle="1" w:styleId="HeaderChar">
    <w:name w:val="Header Char"/>
    <w:basedOn w:val="DefaultParagraphFont"/>
    <w:link w:val="Header"/>
    <w:rsid w:val="00535FBC"/>
    <w:rPr>
      <w:rFonts w:ascii="Verdana" w:eastAsia="Times" w:hAnsi="Verdana" w:cs="Times New Roman"/>
      <w:sz w:val="20"/>
      <w:szCs w:val="20"/>
    </w:rPr>
  </w:style>
  <w:style w:type="character" w:styleId="Hyperlink">
    <w:name w:val="Hyperlink"/>
    <w:uiPriority w:val="99"/>
    <w:rsid w:val="00535FBC"/>
    <w:rPr>
      <w:color w:val="0000FF"/>
      <w:u w:val="single"/>
    </w:rPr>
  </w:style>
  <w:style w:type="paragraph" w:styleId="Footer">
    <w:name w:val="footer"/>
    <w:basedOn w:val="Normal"/>
    <w:link w:val="FooterChar"/>
    <w:rsid w:val="00535FBC"/>
    <w:pPr>
      <w:tabs>
        <w:tab w:val="clear" w:pos="4680"/>
        <w:tab w:val="center" w:pos="4320"/>
        <w:tab w:val="right" w:pos="8640"/>
      </w:tabs>
    </w:pPr>
  </w:style>
  <w:style w:type="character" w:customStyle="1" w:styleId="FooterChar">
    <w:name w:val="Footer Char"/>
    <w:basedOn w:val="DefaultParagraphFont"/>
    <w:link w:val="Footer"/>
    <w:rsid w:val="00535FBC"/>
    <w:rPr>
      <w:rFonts w:ascii="Verdana" w:eastAsia="Times" w:hAnsi="Verdana" w:cs="Times New Roman"/>
      <w:sz w:val="20"/>
      <w:szCs w:val="20"/>
    </w:rPr>
  </w:style>
  <w:style w:type="character" w:styleId="PageNumber">
    <w:name w:val="page number"/>
    <w:basedOn w:val="DefaultParagraphFont"/>
    <w:rsid w:val="00535FBC"/>
  </w:style>
  <w:style w:type="paragraph" w:customStyle="1" w:styleId="RevisionHistory">
    <w:name w:val="Revision History"/>
    <w:rsid w:val="00535FBC"/>
    <w:pPr>
      <w:keepNext/>
      <w:pageBreakBefore/>
      <w:spacing w:after="360" w:line="240" w:lineRule="auto"/>
    </w:pPr>
    <w:rPr>
      <w:rFonts w:ascii="Arial" w:eastAsia="Times" w:hAnsi="Arial" w:cs="Times New Roman"/>
      <w:color w:val="1D2675"/>
      <w:sz w:val="40"/>
      <w:szCs w:val="40"/>
    </w:rPr>
  </w:style>
  <w:style w:type="paragraph" w:customStyle="1" w:styleId="Definition">
    <w:name w:val="Definition"/>
    <w:basedOn w:val="Normal"/>
    <w:rsid w:val="00535FBC"/>
    <w:pPr>
      <w:widowControl w:val="0"/>
      <w:tabs>
        <w:tab w:val="clear" w:pos="4680"/>
        <w:tab w:val="left" w:pos="2160"/>
      </w:tabs>
      <w:spacing w:before="120" w:after="60" w:line="200" w:lineRule="atLeast"/>
      <w:ind w:left="2160" w:hanging="1440"/>
    </w:pPr>
    <w:rPr>
      <w:rFonts w:ascii="Trebuchet MS" w:eastAsia="Times New Roman" w:hAnsi="Trebuchet MS"/>
      <w:color w:val="000000"/>
    </w:rPr>
  </w:style>
  <w:style w:type="character" w:customStyle="1" w:styleId="StyleBookAntiqua10pt">
    <w:name w:val="Style Book Antiqua 10 pt"/>
    <w:rsid w:val="00535FBC"/>
    <w:rPr>
      <w:rFonts w:ascii="Trebuchet MS" w:hAnsi="Trebuchet MS"/>
      <w:sz w:val="20"/>
    </w:rPr>
  </w:style>
  <w:style w:type="character" w:customStyle="1" w:styleId="StyleBookAntiqua10ptBold">
    <w:name w:val="Style Book Antiqua 10 pt Bold"/>
    <w:rsid w:val="00535FBC"/>
    <w:rPr>
      <w:rFonts w:ascii="Trebuchet MS" w:hAnsi="Trebuchet MS"/>
      <w:b/>
      <w:bCs/>
      <w:sz w:val="20"/>
    </w:rPr>
  </w:style>
  <w:style w:type="paragraph" w:customStyle="1" w:styleId="Instructions">
    <w:name w:val="Instructions"/>
    <w:basedOn w:val="Normal"/>
    <w:next w:val="Normal"/>
    <w:link w:val="InstructionsChar"/>
    <w:rsid w:val="00535FBC"/>
    <w:pPr>
      <w:tabs>
        <w:tab w:val="clear" w:pos="4680"/>
      </w:tabs>
      <w:spacing w:before="60" w:after="60"/>
      <w:ind w:left="0"/>
    </w:pPr>
    <w:rPr>
      <w:rFonts w:ascii="Trebuchet MS" w:hAnsi="Trebuchet MS"/>
      <w:i/>
      <w:vanish/>
      <w:color w:val="0000FF"/>
    </w:rPr>
  </w:style>
  <w:style w:type="character" w:customStyle="1" w:styleId="InstructionsChar">
    <w:name w:val="Instructions Char"/>
    <w:link w:val="Instructions"/>
    <w:rsid w:val="00535FBC"/>
    <w:rPr>
      <w:rFonts w:ascii="Trebuchet MS" w:eastAsia="Times" w:hAnsi="Trebuchet MS" w:cs="Times New Roman"/>
      <w:i/>
      <w:vanish/>
      <w:color w:val="0000FF"/>
      <w:sz w:val="20"/>
      <w:szCs w:val="20"/>
    </w:rPr>
  </w:style>
  <w:style w:type="paragraph" w:customStyle="1" w:styleId="Appendix">
    <w:name w:val="Appendix"/>
    <w:basedOn w:val="Normal"/>
    <w:rsid w:val="00535FBC"/>
    <w:pPr>
      <w:keepNext/>
      <w:pageBreakBefore/>
      <w:numPr>
        <w:numId w:val="3"/>
      </w:numPr>
      <w:spacing w:after="360"/>
    </w:pPr>
    <w:rPr>
      <w:rFonts w:ascii="Arial" w:hAnsi="Arial"/>
      <w:color w:val="1D2675"/>
      <w:sz w:val="40"/>
    </w:rPr>
  </w:style>
  <w:style w:type="paragraph" w:customStyle="1" w:styleId="Appendixlevel2">
    <w:name w:val="Appendix level 2"/>
    <w:next w:val="Normal"/>
    <w:rsid w:val="00535FBC"/>
    <w:pPr>
      <w:keepNext/>
      <w:numPr>
        <w:ilvl w:val="1"/>
        <w:numId w:val="2"/>
      </w:numPr>
      <w:spacing w:before="360" w:after="120" w:line="240" w:lineRule="auto"/>
    </w:pPr>
    <w:rPr>
      <w:rFonts w:ascii="Arial" w:eastAsia="Times" w:hAnsi="Arial" w:cs="Times New Roman"/>
      <w:b/>
      <w:color w:val="1D2675"/>
      <w:sz w:val="30"/>
      <w:szCs w:val="20"/>
    </w:rPr>
  </w:style>
  <w:style w:type="paragraph" w:styleId="Subtitle">
    <w:name w:val="Subtitle"/>
    <w:basedOn w:val="Normal"/>
    <w:next w:val="Normal"/>
    <w:link w:val="SubtitleChar"/>
    <w:uiPriority w:val="11"/>
    <w:qFormat/>
    <w:rsid w:val="00535FBC"/>
    <w:pPr>
      <w:numPr>
        <w:ilvl w:val="1"/>
      </w:numPr>
      <w:spacing w:after="160"/>
      <w:ind w:left="288"/>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535FBC"/>
    <w:rPr>
      <w:rFonts w:eastAsiaTheme="minorEastAsia"/>
      <w:color w:val="5A5A5A" w:themeColor="text1" w:themeTint="A5"/>
      <w:spacing w:val="15"/>
    </w:rPr>
  </w:style>
  <w:style w:type="paragraph" w:customStyle="1" w:styleId="SuperTitle">
    <w:name w:val="SuperTitle"/>
    <w:basedOn w:val="Title"/>
    <w:semiHidden/>
    <w:rsid w:val="00F53A1F"/>
    <w:pPr>
      <w:pBdr>
        <w:top w:val="single" w:sz="48" w:space="1" w:color="auto"/>
      </w:pBdr>
      <w:tabs>
        <w:tab w:val="clear" w:pos="4680"/>
      </w:tabs>
      <w:spacing w:before="720" w:after="0"/>
      <w:ind w:left="1440"/>
      <w:jc w:val="right"/>
      <w:outlineLvl w:val="9"/>
    </w:pPr>
    <w:rPr>
      <w:rFonts w:ascii="Calibri" w:eastAsia="Times New Roman" w:hAnsi="Calibri" w:cs="Times New Roman"/>
      <w:bCs w:val="0"/>
      <w:kern w:val="0"/>
      <w:sz w:val="28"/>
      <w:szCs w:val="22"/>
    </w:rPr>
  </w:style>
  <w:style w:type="paragraph" w:customStyle="1" w:styleId="Title1">
    <w:name w:val="Title 1"/>
    <w:basedOn w:val="Title"/>
    <w:next w:val="Normal"/>
    <w:rsid w:val="00F53A1F"/>
    <w:pPr>
      <w:tabs>
        <w:tab w:val="clear" w:pos="4680"/>
      </w:tabs>
      <w:ind w:left="0"/>
      <w:outlineLvl w:val="9"/>
    </w:pPr>
    <w:rPr>
      <w:rFonts w:ascii="Arial" w:eastAsia="Times New Roman" w:hAnsi="Arial" w:cs="Times New Roman"/>
      <w:b w:val="0"/>
      <w:sz w:val="44"/>
      <w:szCs w:val="32"/>
    </w:rPr>
  </w:style>
  <w:style w:type="paragraph" w:customStyle="1" w:styleId="Title2">
    <w:name w:val="Title 2"/>
    <w:basedOn w:val="Title"/>
    <w:next w:val="Normal"/>
    <w:rsid w:val="00F53A1F"/>
    <w:pPr>
      <w:tabs>
        <w:tab w:val="clear" w:pos="4680"/>
      </w:tabs>
      <w:ind w:left="0"/>
      <w:outlineLvl w:val="9"/>
    </w:pPr>
    <w:rPr>
      <w:rFonts w:ascii="Arial" w:eastAsia="Times New Roman" w:hAnsi="Arial" w:cs="Times New Roman"/>
      <w:szCs w:val="32"/>
    </w:rPr>
  </w:style>
  <w:style w:type="paragraph" w:customStyle="1" w:styleId="NormalIndent1">
    <w:name w:val="Normal Indent 1"/>
    <w:basedOn w:val="Normal"/>
    <w:link w:val="NormalIndent1Char"/>
    <w:rsid w:val="00F53A1F"/>
    <w:pPr>
      <w:tabs>
        <w:tab w:val="clear" w:pos="4680"/>
      </w:tabs>
      <w:spacing w:before="120"/>
      <w:ind w:left="720"/>
    </w:pPr>
    <w:rPr>
      <w:rFonts w:ascii="Arial" w:eastAsia="Times New Roman" w:hAnsi="Arial" w:cs="Arial"/>
      <w:szCs w:val="22"/>
    </w:rPr>
  </w:style>
  <w:style w:type="character" w:customStyle="1" w:styleId="NormalIndent1Char">
    <w:name w:val="Normal Indent 1 Char"/>
    <w:link w:val="NormalIndent1"/>
    <w:rsid w:val="00F53A1F"/>
    <w:rPr>
      <w:rFonts w:ascii="Arial" w:eastAsia="Times New Roman" w:hAnsi="Arial" w:cs="Arial"/>
    </w:rPr>
  </w:style>
  <w:style w:type="paragraph" w:customStyle="1" w:styleId="VersionDoc">
    <w:name w:val="Version Doc"/>
    <w:basedOn w:val="Normal"/>
    <w:next w:val="Normal"/>
    <w:rsid w:val="00F53A1F"/>
    <w:pPr>
      <w:tabs>
        <w:tab w:val="clear" w:pos="4680"/>
      </w:tabs>
      <w:spacing w:before="60" w:after="60"/>
      <w:ind w:left="360"/>
      <w:jc w:val="right"/>
    </w:pPr>
    <w:rPr>
      <w:rFonts w:ascii="Arial" w:eastAsia="Times New Roman" w:hAnsi="Arial" w:cs="Arial"/>
      <w:i/>
      <w:sz w:val="18"/>
      <w:szCs w:val="18"/>
    </w:rPr>
  </w:style>
  <w:style w:type="paragraph" w:styleId="NormalWeb">
    <w:name w:val="Normal (Web)"/>
    <w:basedOn w:val="Normal"/>
    <w:uiPriority w:val="99"/>
    <w:unhideWhenUsed/>
    <w:rsid w:val="003E24F5"/>
    <w:pPr>
      <w:tabs>
        <w:tab w:val="clear" w:pos="4680"/>
      </w:tabs>
      <w:spacing w:before="100" w:beforeAutospacing="1" w:after="100" w:afterAutospacing="1"/>
      <w:ind w:left="0"/>
    </w:pPr>
    <w:rPr>
      <w:rFonts w:ascii="Times New Roman" w:eastAsia="Times New Roman" w:hAnsi="Times New Roman"/>
      <w:sz w:val="24"/>
      <w:szCs w:val="24"/>
    </w:rPr>
  </w:style>
  <w:style w:type="table" w:styleId="TableGrid">
    <w:name w:val="Table Grid"/>
    <w:basedOn w:val="TableNormal"/>
    <w:uiPriority w:val="39"/>
    <w:rsid w:val="004A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3E6C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67571E"/>
    <w:rPr>
      <w:sz w:val="16"/>
      <w:szCs w:val="16"/>
    </w:rPr>
  </w:style>
  <w:style w:type="paragraph" w:styleId="CommentText">
    <w:name w:val="annotation text"/>
    <w:basedOn w:val="Normal"/>
    <w:link w:val="CommentTextChar"/>
    <w:uiPriority w:val="99"/>
    <w:semiHidden/>
    <w:unhideWhenUsed/>
    <w:rsid w:val="0067571E"/>
  </w:style>
  <w:style w:type="character" w:customStyle="1" w:styleId="CommentTextChar">
    <w:name w:val="Comment Text Char"/>
    <w:basedOn w:val="DefaultParagraphFont"/>
    <w:link w:val="CommentText"/>
    <w:uiPriority w:val="99"/>
    <w:semiHidden/>
    <w:rsid w:val="0067571E"/>
    <w:rPr>
      <w:rFonts w:ascii="Verdana" w:eastAsia="Times" w:hAnsi="Verdana" w:cs="Times New Roman"/>
      <w:sz w:val="20"/>
      <w:szCs w:val="20"/>
    </w:rPr>
  </w:style>
  <w:style w:type="paragraph" w:styleId="CommentSubject">
    <w:name w:val="annotation subject"/>
    <w:basedOn w:val="CommentText"/>
    <w:next w:val="CommentText"/>
    <w:link w:val="CommentSubjectChar"/>
    <w:uiPriority w:val="99"/>
    <w:semiHidden/>
    <w:unhideWhenUsed/>
    <w:rsid w:val="0067571E"/>
    <w:rPr>
      <w:b/>
      <w:bCs/>
    </w:rPr>
  </w:style>
  <w:style w:type="character" w:customStyle="1" w:styleId="CommentSubjectChar">
    <w:name w:val="Comment Subject Char"/>
    <w:basedOn w:val="CommentTextChar"/>
    <w:link w:val="CommentSubject"/>
    <w:uiPriority w:val="99"/>
    <w:semiHidden/>
    <w:rsid w:val="0067571E"/>
    <w:rPr>
      <w:rFonts w:ascii="Verdana" w:eastAsia="Times" w:hAnsi="Verdana" w:cs="Times New Roman"/>
      <w:b/>
      <w:bCs/>
      <w:sz w:val="20"/>
      <w:szCs w:val="20"/>
    </w:rPr>
  </w:style>
  <w:style w:type="paragraph" w:styleId="BalloonText">
    <w:name w:val="Balloon Text"/>
    <w:basedOn w:val="Normal"/>
    <w:link w:val="BalloonTextChar"/>
    <w:uiPriority w:val="99"/>
    <w:semiHidden/>
    <w:unhideWhenUsed/>
    <w:rsid w:val="006757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71E"/>
    <w:rPr>
      <w:rFonts w:ascii="Segoe UI" w:eastAsia="Times" w:hAnsi="Segoe UI" w:cs="Segoe UI"/>
      <w:sz w:val="18"/>
      <w:szCs w:val="18"/>
    </w:rPr>
  </w:style>
  <w:style w:type="character" w:customStyle="1" w:styleId="mw-headline">
    <w:name w:val="mw-headline"/>
    <w:basedOn w:val="DefaultParagraphFont"/>
    <w:rsid w:val="00BB2622"/>
  </w:style>
  <w:style w:type="paragraph" w:styleId="ListParagraph">
    <w:name w:val="List Paragraph"/>
    <w:basedOn w:val="Normal"/>
    <w:uiPriority w:val="34"/>
    <w:qFormat/>
    <w:rsid w:val="00150F02"/>
    <w:pPr>
      <w:ind w:left="720"/>
      <w:contextualSpacing/>
    </w:pPr>
  </w:style>
  <w:style w:type="character" w:styleId="PlaceholderText">
    <w:name w:val="Placeholder Text"/>
    <w:basedOn w:val="DefaultParagraphFont"/>
    <w:uiPriority w:val="99"/>
    <w:semiHidden/>
    <w:rsid w:val="000331F5"/>
    <w:rPr>
      <w:color w:val="808080"/>
    </w:rPr>
  </w:style>
  <w:style w:type="character" w:customStyle="1" w:styleId="toctoggle">
    <w:name w:val="toctoggle"/>
    <w:basedOn w:val="DefaultParagraphFont"/>
    <w:rsid w:val="0084345D"/>
  </w:style>
  <w:style w:type="character" w:customStyle="1" w:styleId="tocnumber">
    <w:name w:val="tocnumber"/>
    <w:basedOn w:val="DefaultParagraphFont"/>
    <w:rsid w:val="0084345D"/>
  </w:style>
  <w:style w:type="character" w:customStyle="1" w:styleId="toctext">
    <w:name w:val="toctext"/>
    <w:basedOn w:val="DefaultParagraphFont"/>
    <w:rsid w:val="0084345D"/>
  </w:style>
  <w:style w:type="table" w:customStyle="1" w:styleId="GridTable1Light1">
    <w:name w:val="Grid Table 1 Light1"/>
    <w:basedOn w:val="TableNormal"/>
    <w:uiPriority w:val="46"/>
    <w:rsid w:val="00000F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000F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000F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000F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E42C54"/>
    <w:pPr>
      <w:spacing w:after="200"/>
    </w:pPr>
    <w:rPr>
      <w:i/>
      <w:iCs/>
      <w:color w:val="44546A" w:themeColor="text2"/>
      <w:sz w:val="18"/>
      <w:szCs w:val="18"/>
    </w:rPr>
  </w:style>
  <w:style w:type="character" w:customStyle="1" w:styleId="file">
    <w:name w:val="file"/>
    <w:basedOn w:val="DefaultParagraphFont"/>
    <w:rsid w:val="00DD7CB7"/>
    <w:rPr>
      <w:sz w:val="24"/>
      <w:szCs w:val="24"/>
      <w:bdr w:val="none" w:sz="0" w:space="0" w:color="auto" w:frame="1"/>
      <w:vertAlign w:val="baseline"/>
    </w:rPr>
  </w:style>
  <w:style w:type="table" w:styleId="GridTable4-Accent1">
    <w:name w:val="Grid Table 4 Accent 1"/>
    <w:basedOn w:val="TableNormal"/>
    <w:uiPriority w:val="49"/>
    <w:rsid w:val="0016087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ection400000000000001">
    <w:name w:val="section400000000000001"/>
    <w:basedOn w:val="DefaultParagraphFont"/>
    <w:rsid w:val="000849F4"/>
    <w:rPr>
      <w:vanish/>
      <w:webHidden w:val="0"/>
      <w:specVanish w:val="0"/>
    </w:rPr>
  </w:style>
  <w:style w:type="paragraph" w:styleId="NoSpacing">
    <w:name w:val="No Spacing"/>
    <w:uiPriority w:val="1"/>
    <w:qFormat/>
    <w:rsid w:val="004D1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3245">
      <w:bodyDiv w:val="1"/>
      <w:marLeft w:val="0"/>
      <w:marRight w:val="0"/>
      <w:marTop w:val="0"/>
      <w:marBottom w:val="0"/>
      <w:divBdr>
        <w:top w:val="none" w:sz="0" w:space="0" w:color="auto"/>
        <w:left w:val="none" w:sz="0" w:space="0" w:color="auto"/>
        <w:bottom w:val="none" w:sz="0" w:space="0" w:color="auto"/>
        <w:right w:val="none" w:sz="0" w:space="0" w:color="auto"/>
      </w:divBdr>
    </w:div>
    <w:div w:id="110167764">
      <w:bodyDiv w:val="1"/>
      <w:marLeft w:val="0"/>
      <w:marRight w:val="0"/>
      <w:marTop w:val="0"/>
      <w:marBottom w:val="0"/>
      <w:divBdr>
        <w:top w:val="none" w:sz="0" w:space="0" w:color="auto"/>
        <w:left w:val="none" w:sz="0" w:space="0" w:color="auto"/>
        <w:bottom w:val="none" w:sz="0" w:space="0" w:color="auto"/>
        <w:right w:val="none" w:sz="0" w:space="0" w:color="auto"/>
      </w:divBdr>
    </w:div>
    <w:div w:id="154731028">
      <w:bodyDiv w:val="1"/>
      <w:marLeft w:val="0"/>
      <w:marRight w:val="0"/>
      <w:marTop w:val="0"/>
      <w:marBottom w:val="0"/>
      <w:divBdr>
        <w:top w:val="none" w:sz="0" w:space="0" w:color="auto"/>
        <w:left w:val="none" w:sz="0" w:space="0" w:color="auto"/>
        <w:bottom w:val="none" w:sz="0" w:space="0" w:color="auto"/>
        <w:right w:val="none" w:sz="0" w:space="0" w:color="auto"/>
      </w:divBdr>
    </w:div>
    <w:div w:id="212038128">
      <w:bodyDiv w:val="1"/>
      <w:marLeft w:val="0"/>
      <w:marRight w:val="0"/>
      <w:marTop w:val="0"/>
      <w:marBottom w:val="0"/>
      <w:divBdr>
        <w:top w:val="none" w:sz="0" w:space="0" w:color="auto"/>
        <w:left w:val="none" w:sz="0" w:space="0" w:color="auto"/>
        <w:bottom w:val="none" w:sz="0" w:space="0" w:color="auto"/>
        <w:right w:val="none" w:sz="0" w:space="0" w:color="auto"/>
      </w:divBdr>
      <w:divsChild>
        <w:div w:id="1005480047">
          <w:marLeft w:val="0"/>
          <w:marRight w:val="0"/>
          <w:marTop w:val="0"/>
          <w:marBottom w:val="0"/>
          <w:divBdr>
            <w:top w:val="none" w:sz="0" w:space="0" w:color="auto"/>
            <w:left w:val="none" w:sz="0" w:space="0" w:color="auto"/>
            <w:bottom w:val="none" w:sz="0" w:space="0" w:color="auto"/>
            <w:right w:val="none" w:sz="0" w:space="0" w:color="auto"/>
          </w:divBdr>
          <w:divsChild>
            <w:div w:id="2007660958">
              <w:marLeft w:val="0"/>
              <w:marRight w:val="0"/>
              <w:marTop w:val="0"/>
              <w:marBottom w:val="0"/>
              <w:divBdr>
                <w:top w:val="none" w:sz="0" w:space="0" w:color="auto"/>
                <w:left w:val="none" w:sz="0" w:space="0" w:color="auto"/>
                <w:bottom w:val="none" w:sz="0" w:space="0" w:color="auto"/>
                <w:right w:val="none" w:sz="0" w:space="0" w:color="auto"/>
              </w:divBdr>
              <w:divsChild>
                <w:div w:id="17885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5181">
      <w:bodyDiv w:val="1"/>
      <w:marLeft w:val="0"/>
      <w:marRight w:val="0"/>
      <w:marTop w:val="0"/>
      <w:marBottom w:val="0"/>
      <w:divBdr>
        <w:top w:val="none" w:sz="0" w:space="0" w:color="auto"/>
        <w:left w:val="none" w:sz="0" w:space="0" w:color="auto"/>
        <w:bottom w:val="none" w:sz="0" w:space="0" w:color="auto"/>
        <w:right w:val="none" w:sz="0" w:space="0" w:color="auto"/>
      </w:divBdr>
      <w:divsChild>
        <w:div w:id="1215122731">
          <w:marLeft w:val="0"/>
          <w:marRight w:val="0"/>
          <w:marTop w:val="0"/>
          <w:marBottom w:val="0"/>
          <w:divBdr>
            <w:top w:val="none" w:sz="0" w:space="0" w:color="auto"/>
            <w:left w:val="none" w:sz="0" w:space="0" w:color="auto"/>
            <w:bottom w:val="none" w:sz="0" w:space="0" w:color="auto"/>
            <w:right w:val="none" w:sz="0" w:space="0" w:color="auto"/>
          </w:divBdr>
          <w:divsChild>
            <w:div w:id="1207182160">
              <w:marLeft w:val="0"/>
              <w:marRight w:val="0"/>
              <w:marTop w:val="0"/>
              <w:marBottom w:val="0"/>
              <w:divBdr>
                <w:top w:val="none" w:sz="0" w:space="0" w:color="auto"/>
                <w:left w:val="none" w:sz="0" w:space="0" w:color="auto"/>
                <w:bottom w:val="none" w:sz="0" w:space="0" w:color="auto"/>
                <w:right w:val="none" w:sz="0" w:space="0" w:color="auto"/>
              </w:divBdr>
              <w:divsChild>
                <w:div w:id="237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7141">
      <w:bodyDiv w:val="1"/>
      <w:marLeft w:val="0"/>
      <w:marRight w:val="0"/>
      <w:marTop w:val="0"/>
      <w:marBottom w:val="0"/>
      <w:divBdr>
        <w:top w:val="none" w:sz="0" w:space="0" w:color="auto"/>
        <w:left w:val="none" w:sz="0" w:space="0" w:color="auto"/>
        <w:bottom w:val="none" w:sz="0" w:space="0" w:color="auto"/>
        <w:right w:val="none" w:sz="0" w:space="0" w:color="auto"/>
      </w:divBdr>
    </w:div>
    <w:div w:id="443772578">
      <w:bodyDiv w:val="1"/>
      <w:marLeft w:val="0"/>
      <w:marRight w:val="0"/>
      <w:marTop w:val="0"/>
      <w:marBottom w:val="0"/>
      <w:divBdr>
        <w:top w:val="none" w:sz="0" w:space="0" w:color="auto"/>
        <w:left w:val="none" w:sz="0" w:space="0" w:color="auto"/>
        <w:bottom w:val="none" w:sz="0" w:space="0" w:color="auto"/>
        <w:right w:val="none" w:sz="0" w:space="0" w:color="auto"/>
      </w:divBdr>
    </w:div>
    <w:div w:id="553589832">
      <w:bodyDiv w:val="1"/>
      <w:marLeft w:val="0"/>
      <w:marRight w:val="0"/>
      <w:marTop w:val="0"/>
      <w:marBottom w:val="0"/>
      <w:divBdr>
        <w:top w:val="none" w:sz="0" w:space="0" w:color="auto"/>
        <w:left w:val="none" w:sz="0" w:space="0" w:color="auto"/>
        <w:bottom w:val="none" w:sz="0" w:space="0" w:color="auto"/>
        <w:right w:val="none" w:sz="0" w:space="0" w:color="auto"/>
      </w:divBdr>
    </w:div>
    <w:div w:id="564799802">
      <w:bodyDiv w:val="1"/>
      <w:marLeft w:val="0"/>
      <w:marRight w:val="0"/>
      <w:marTop w:val="0"/>
      <w:marBottom w:val="0"/>
      <w:divBdr>
        <w:top w:val="none" w:sz="0" w:space="0" w:color="auto"/>
        <w:left w:val="none" w:sz="0" w:space="0" w:color="auto"/>
        <w:bottom w:val="none" w:sz="0" w:space="0" w:color="auto"/>
        <w:right w:val="none" w:sz="0" w:space="0" w:color="auto"/>
      </w:divBdr>
    </w:div>
    <w:div w:id="602805904">
      <w:bodyDiv w:val="1"/>
      <w:marLeft w:val="0"/>
      <w:marRight w:val="0"/>
      <w:marTop w:val="0"/>
      <w:marBottom w:val="0"/>
      <w:divBdr>
        <w:top w:val="none" w:sz="0" w:space="0" w:color="auto"/>
        <w:left w:val="none" w:sz="0" w:space="0" w:color="auto"/>
        <w:bottom w:val="none" w:sz="0" w:space="0" w:color="auto"/>
        <w:right w:val="none" w:sz="0" w:space="0" w:color="auto"/>
      </w:divBdr>
    </w:div>
    <w:div w:id="767894126">
      <w:bodyDiv w:val="1"/>
      <w:marLeft w:val="0"/>
      <w:marRight w:val="0"/>
      <w:marTop w:val="0"/>
      <w:marBottom w:val="0"/>
      <w:divBdr>
        <w:top w:val="none" w:sz="0" w:space="0" w:color="auto"/>
        <w:left w:val="none" w:sz="0" w:space="0" w:color="auto"/>
        <w:bottom w:val="none" w:sz="0" w:space="0" w:color="auto"/>
        <w:right w:val="none" w:sz="0" w:space="0" w:color="auto"/>
      </w:divBdr>
    </w:div>
    <w:div w:id="811825724">
      <w:bodyDiv w:val="1"/>
      <w:marLeft w:val="0"/>
      <w:marRight w:val="0"/>
      <w:marTop w:val="0"/>
      <w:marBottom w:val="0"/>
      <w:divBdr>
        <w:top w:val="none" w:sz="0" w:space="0" w:color="auto"/>
        <w:left w:val="none" w:sz="0" w:space="0" w:color="auto"/>
        <w:bottom w:val="none" w:sz="0" w:space="0" w:color="auto"/>
        <w:right w:val="none" w:sz="0" w:space="0" w:color="auto"/>
      </w:divBdr>
      <w:divsChild>
        <w:div w:id="683289921">
          <w:marLeft w:val="0"/>
          <w:marRight w:val="0"/>
          <w:marTop w:val="0"/>
          <w:marBottom w:val="0"/>
          <w:divBdr>
            <w:top w:val="none" w:sz="0" w:space="0" w:color="auto"/>
            <w:left w:val="none" w:sz="0" w:space="0" w:color="auto"/>
            <w:bottom w:val="none" w:sz="0" w:space="0" w:color="auto"/>
            <w:right w:val="none" w:sz="0" w:space="0" w:color="auto"/>
          </w:divBdr>
          <w:divsChild>
            <w:div w:id="438524078">
              <w:marLeft w:val="0"/>
              <w:marRight w:val="0"/>
              <w:marTop w:val="0"/>
              <w:marBottom w:val="0"/>
              <w:divBdr>
                <w:top w:val="none" w:sz="0" w:space="0" w:color="auto"/>
                <w:left w:val="none" w:sz="0" w:space="0" w:color="auto"/>
                <w:bottom w:val="none" w:sz="0" w:space="0" w:color="auto"/>
                <w:right w:val="none" w:sz="0" w:space="0" w:color="auto"/>
              </w:divBdr>
              <w:divsChild>
                <w:div w:id="443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1825">
      <w:bodyDiv w:val="1"/>
      <w:marLeft w:val="0"/>
      <w:marRight w:val="0"/>
      <w:marTop w:val="0"/>
      <w:marBottom w:val="0"/>
      <w:divBdr>
        <w:top w:val="none" w:sz="0" w:space="0" w:color="auto"/>
        <w:left w:val="none" w:sz="0" w:space="0" w:color="auto"/>
        <w:bottom w:val="none" w:sz="0" w:space="0" w:color="auto"/>
        <w:right w:val="none" w:sz="0" w:space="0" w:color="auto"/>
      </w:divBdr>
    </w:div>
    <w:div w:id="1019627864">
      <w:bodyDiv w:val="1"/>
      <w:marLeft w:val="0"/>
      <w:marRight w:val="0"/>
      <w:marTop w:val="0"/>
      <w:marBottom w:val="0"/>
      <w:divBdr>
        <w:top w:val="none" w:sz="0" w:space="0" w:color="auto"/>
        <w:left w:val="none" w:sz="0" w:space="0" w:color="auto"/>
        <w:bottom w:val="none" w:sz="0" w:space="0" w:color="auto"/>
        <w:right w:val="none" w:sz="0" w:space="0" w:color="auto"/>
      </w:divBdr>
      <w:divsChild>
        <w:div w:id="198054147">
          <w:marLeft w:val="0"/>
          <w:marRight w:val="0"/>
          <w:marTop w:val="0"/>
          <w:marBottom w:val="0"/>
          <w:divBdr>
            <w:top w:val="none" w:sz="0" w:space="0" w:color="auto"/>
            <w:left w:val="none" w:sz="0" w:space="0" w:color="auto"/>
            <w:bottom w:val="none" w:sz="0" w:space="0" w:color="auto"/>
            <w:right w:val="none" w:sz="0" w:space="0" w:color="auto"/>
          </w:divBdr>
          <w:divsChild>
            <w:div w:id="1963220048">
              <w:marLeft w:val="0"/>
              <w:marRight w:val="0"/>
              <w:marTop w:val="0"/>
              <w:marBottom w:val="0"/>
              <w:divBdr>
                <w:top w:val="none" w:sz="0" w:space="0" w:color="auto"/>
                <w:left w:val="none" w:sz="0" w:space="0" w:color="auto"/>
                <w:bottom w:val="none" w:sz="0" w:space="0" w:color="auto"/>
                <w:right w:val="none" w:sz="0" w:space="0" w:color="auto"/>
              </w:divBdr>
              <w:divsChild>
                <w:div w:id="2075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0184">
      <w:bodyDiv w:val="1"/>
      <w:marLeft w:val="0"/>
      <w:marRight w:val="0"/>
      <w:marTop w:val="0"/>
      <w:marBottom w:val="0"/>
      <w:divBdr>
        <w:top w:val="none" w:sz="0" w:space="0" w:color="auto"/>
        <w:left w:val="none" w:sz="0" w:space="0" w:color="auto"/>
        <w:bottom w:val="none" w:sz="0" w:space="0" w:color="auto"/>
        <w:right w:val="none" w:sz="0" w:space="0" w:color="auto"/>
      </w:divBdr>
    </w:div>
    <w:div w:id="1056512067">
      <w:bodyDiv w:val="1"/>
      <w:marLeft w:val="0"/>
      <w:marRight w:val="0"/>
      <w:marTop w:val="0"/>
      <w:marBottom w:val="0"/>
      <w:divBdr>
        <w:top w:val="none" w:sz="0" w:space="0" w:color="auto"/>
        <w:left w:val="none" w:sz="0" w:space="0" w:color="auto"/>
        <w:bottom w:val="none" w:sz="0" w:space="0" w:color="auto"/>
        <w:right w:val="none" w:sz="0" w:space="0" w:color="auto"/>
      </w:divBdr>
    </w:div>
    <w:div w:id="1085226777">
      <w:bodyDiv w:val="1"/>
      <w:marLeft w:val="0"/>
      <w:marRight w:val="0"/>
      <w:marTop w:val="0"/>
      <w:marBottom w:val="0"/>
      <w:divBdr>
        <w:top w:val="none" w:sz="0" w:space="0" w:color="auto"/>
        <w:left w:val="none" w:sz="0" w:space="0" w:color="auto"/>
        <w:bottom w:val="none" w:sz="0" w:space="0" w:color="auto"/>
        <w:right w:val="none" w:sz="0" w:space="0" w:color="auto"/>
      </w:divBdr>
    </w:div>
    <w:div w:id="1117526645">
      <w:bodyDiv w:val="1"/>
      <w:marLeft w:val="0"/>
      <w:marRight w:val="0"/>
      <w:marTop w:val="0"/>
      <w:marBottom w:val="0"/>
      <w:divBdr>
        <w:top w:val="none" w:sz="0" w:space="0" w:color="auto"/>
        <w:left w:val="none" w:sz="0" w:space="0" w:color="auto"/>
        <w:bottom w:val="none" w:sz="0" w:space="0" w:color="auto"/>
        <w:right w:val="none" w:sz="0" w:space="0" w:color="auto"/>
      </w:divBdr>
    </w:div>
    <w:div w:id="1125082432">
      <w:bodyDiv w:val="1"/>
      <w:marLeft w:val="0"/>
      <w:marRight w:val="0"/>
      <w:marTop w:val="0"/>
      <w:marBottom w:val="0"/>
      <w:divBdr>
        <w:top w:val="none" w:sz="0" w:space="0" w:color="auto"/>
        <w:left w:val="none" w:sz="0" w:space="0" w:color="auto"/>
        <w:bottom w:val="none" w:sz="0" w:space="0" w:color="auto"/>
        <w:right w:val="none" w:sz="0" w:space="0" w:color="auto"/>
      </w:divBdr>
      <w:divsChild>
        <w:div w:id="813645199">
          <w:marLeft w:val="0"/>
          <w:marRight w:val="0"/>
          <w:marTop w:val="0"/>
          <w:marBottom w:val="0"/>
          <w:divBdr>
            <w:top w:val="none" w:sz="0" w:space="0" w:color="auto"/>
            <w:left w:val="none" w:sz="0" w:space="0" w:color="auto"/>
            <w:bottom w:val="none" w:sz="0" w:space="0" w:color="auto"/>
            <w:right w:val="none" w:sz="0" w:space="0" w:color="auto"/>
          </w:divBdr>
          <w:divsChild>
            <w:div w:id="215631281">
              <w:marLeft w:val="0"/>
              <w:marRight w:val="0"/>
              <w:marTop w:val="0"/>
              <w:marBottom w:val="0"/>
              <w:divBdr>
                <w:top w:val="none" w:sz="0" w:space="0" w:color="auto"/>
                <w:left w:val="none" w:sz="0" w:space="0" w:color="auto"/>
                <w:bottom w:val="none" w:sz="0" w:space="0" w:color="auto"/>
                <w:right w:val="none" w:sz="0" w:space="0" w:color="auto"/>
              </w:divBdr>
              <w:divsChild>
                <w:div w:id="16586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7962">
      <w:bodyDiv w:val="1"/>
      <w:marLeft w:val="0"/>
      <w:marRight w:val="0"/>
      <w:marTop w:val="0"/>
      <w:marBottom w:val="0"/>
      <w:divBdr>
        <w:top w:val="none" w:sz="0" w:space="0" w:color="auto"/>
        <w:left w:val="none" w:sz="0" w:space="0" w:color="auto"/>
        <w:bottom w:val="none" w:sz="0" w:space="0" w:color="auto"/>
        <w:right w:val="none" w:sz="0" w:space="0" w:color="auto"/>
      </w:divBdr>
    </w:div>
    <w:div w:id="1211725528">
      <w:bodyDiv w:val="1"/>
      <w:marLeft w:val="0"/>
      <w:marRight w:val="0"/>
      <w:marTop w:val="0"/>
      <w:marBottom w:val="0"/>
      <w:divBdr>
        <w:top w:val="none" w:sz="0" w:space="0" w:color="auto"/>
        <w:left w:val="none" w:sz="0" w:space="0" w:color="auto"/>
        <w:bottom w:val="none" w:sz="0" w:space="0" w:color="auto"/>
        <w:right w:val="none" w:sz="0" w:space="0" w:color="auto"/>
      </w:divBdr>
    </w:div>
    <w:div w:id="1231185608">
      <w:bodyDiv w:val="1"/>
      <w:marLeft w:val="0"/>
      <w:marRight w:val="0"/>
      <w:marTop w:val="0"/>
      <w:marBottom w:val="0"/>
      <w:divBdr>
        <w:top w:val="none" w:sz="0" w:space="0" w:color="auto"/>
        <w:left w:val="none" w:sz="0" w:space="0" w:color="auto"/>
        <w:bottom w:val="none" w:sz="0" w:space="0" w:color="auto"/>
        <w:right w:val="none" w:sz="0" w:space="0" w:color="auto"/>
      </w:divBdr>
    </w:div>
    <w:div w:id="1312252088">
      <w:bodyDiv w:val="1"/>
      <w:marLeft w:val="0"/>
      <w:marRight w:val="0"/>
      <w:marTop w:val="0"/>
      <w:marBottom w:val="0"/>
      <w:divBdr>
        <w:top w:val="none" w:sz="0" w:space="0" w:color="auto"/>
        <w:left w:val="none" w:sz="0" w:space="0" w:color="auto"/>
        <w:bottom w:val="none" w:sz="0" w:space="0" w:color="auto"/>
        <w:right w:val="none" w:sz="0" w:space="0" w:color="auto"/>
      </w:divBdr>
      <w:divsChild>
        <w:div w:id="1034386252">
          <w:marLeft w:val="0"/>
          <w:marRight w:val="0"/>
          <w:marTop w:val="0"/>
          <w:marBottom w:val="0"/>
          <w:divBdr>
            <w:top w:val="none" w:sz="0" w:space="0" w:color="auto"/>
            <w:left w:val="none" w:sz="0" w:space="0" w:color="auto"/>
            <w:bottom w:val="none" w:sz="0" w:space="0" w:color="auto"/>
            <w:right w:val="none" w:sz="0" w:space="0" w:color="auto"/>
          </w:divBdr>
          <w:divsChild>
            <w:div w:id="1634090874">
              <w:marLeft w:val="0"/>
              <w:marRight w:val="0"/>
              <w:marTop w:val="0"/>
              <w:marBottom w:val="0"/>
              <w:divBdr>
                <w:top w:val="none" w:sz="0" w:space="0" w:color="auto"/>
                <w:left w:val="none" w:sz="0" w:space="0" w:color="auto"/>
                <w:bottom w:val="none" w:sz="0" w:space="0" w:color="auto"/>
                <w:right w:val="none" w:sz="0" w:space="0" w:color="auto"/>
              </w:divBdr>
              <w:divsChild>
                <w:div w:id="461729261">
                  <w:marLeft w:val="0"/>
                  <w:marRight w:val="0"/>
                  <w:marTop w:val="0"/>
                  <w:marBottom w:val="0"/>
                  <w:divBdr>
                    <w:top w:val="none" w:sz="0" w:space="0" w:color="auto"/>
                    <w:left w:val="none" w:sz="0" w:space="0" w:color="auto"/>
                    <w:bottom w:val="none" w:sz="0" w:space="0" w:color="auto"/>
                    <w:right w:val="none" w:sz="0" w:space="0" w:color="auto"/>
                  </w:divBdr>
                </w:div>
                <w:div w:id="925843046">
                  <w:marLeft w:val="0"/>
                  <w:marRight w:val="0"/>
                  <w:marTop w:val="0"/>
                  <w:marBottom w:val="0"/>
                  <w:divBdr>
                    <w:top w:val="none" w:sz="0" w:space="0" w:color="auto"/>
                    <w:left w:val="none" w:sz="0" w:space="0" w:color="auto"/>
                    <w:bottom w:val="none" w:sz="0" w:space="0" w:color="auto"/>
                    <w:right w:val="none" w:sz="0" w:space="0" w:color="auto"/>
                  </w:divBdr>
                </w:div>
                <w:div w:id="105009877">
                  <w:marLeft w:val="0"/>
                  <w:marRight w:val="0"/>
                  <w:marTop w:val="0"/>
                  <w:marBottom w:val="0"/>
                  <w:divBdr>
                    <w:top w:val="none" w:sz="0" w:space="0" w:color="auto"/>
                    <w:left w:val="none" w:sz="0" w:space="0" w:color="auto"/>
                    <w:bottom w:val="none" w:sz="0" w:space="0" w:color="auto"/>
                    <w:right w:val="none" w:sz="0" w:space="0" w:color="auto"/>
                  </w:divBdr>
                  <w:divsChild>
                    <w:div w:id="1821144850">
                      <w:marLeft w:val="0"/>
                      <w:marRight w:val="0"/>
                      <w:marTop w:val="0"/>
                      <w:marBottom w:val="0"/>
                      <w:divBdr>
                        <w:top w:val="none" w:sz="0" w:space="0" w:color="auto"/>
                        <w:left w:val="none" w:sz="0" w:space="0" w:color="auto"/>
                        <w:bottom w:val="none" w:sz="0" w:space="0" w:color="auto"/>
                        <w:right w:val="none" w:sz="0" w:space="0" w:color="auto"/>
                      </w:divBdr>
                      <w:divsChild>
                        <w:div w:id="15336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61579">
      <w:bodyDiv w:val="1"/>
      <w:marLeft w:val="0"/>
      <w:marRight w:val="0"/>
      <w:marTop w:val="0"/>
      <w:marBottom w:val="0"/>
      <w:divBdr>
        <w:top w:val="none" w:sz="0" w:space="0" w:color="auto"/>
        <w:left w:val="none" w:sz="0" w:space="0" w:color="auto"/>
        <w:bottom w:val="none" w:sz="0" w:space="0" w:color="auto"/>
        <w:right w:val="none" w:sz="0" w:space="0" w:color="auto"/>
      </w:divBdr>
      <w:divsChild>
        <w:div w:id="999432490">
          <w:marLeft w:val="0"/>
          <w:marRight w:val="0"/>
          <w:marTop w:val="0"/>
          <w:marBottom w:val="0"/>
          <w:divBdr>
            <w:top w:val="none" w:sz="0" w:space="0" w:color="auto"/>
            <w:left w:val="none" w:sz="0" w:space="0" w:color="auto"/>
            <w:bottom w:val="none" w:sz="0" w:space="0" w:color="auto"/>
            <w:right w:val="none" w:sz="0" w:space="0" w:color="auto"/>
          </w:divBdr>
          <w:divsChild>
            <w:div w:id="816992236">
              <w:marLeft w:val="0"/>
              <w:marRight w:val="0"/>
              <w:marTop w:val="0"/>
              <w:marBottom w:val="0"/>
              <w:divBdr>
                <w:top w:val="none" w:sz="0" w:space="0" w:color="auto"/>
                <w:left w:val="none" w:sz="0" w:space="0" w:color="auto"/>
                <w:bottom w:val="none" w:sz="0" w:space="0" w:color="auto"/>
                <w:right w:val="none" w:sz="0" w:space="0" w:color="auto"/>
              </w:divBdr>
              <w:divsChild>
                <w:div w:id="1520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8632">
      <w:bodyDiv w:val="1"/>
      <w:marLeft w:val="0"/>
      <w:marRight w:val="0"/>
      <w:marTop w:val="0"/>
      <w:marBottom w:val="0"/>
      <w:divBdr>
        <w:top w:val="none" w:sz="0" w:space="0" w:color="auto"/>
        <w:left w:val="none" w:sz="0" w:space="0" w:color="auto"/>
        <w:bottom w:val="none" w:sz="0" w:space="0" w:color="auto"/>
        <w:right w:val="none" w:sz="0" w:space="0" w:color="auto"/>
      </w:divBdr>
    </w:div>
    <w:div w:id="1468474240">
      <w:bodyDiv w:val="1"/>
      <w:marLeft w:val="0"/>
      <w:marRight w:val="0"/>
      <w:marTop w:val="0"/>
      <w:marBottom w:val="0"/>
      <w:divBdr>
        <w:top w:val="none" w:sz="0" w:space="0" w:color="auto"/>
        <w:left w:val="none" w:sz="0" w:space="0" w:color="auto"/>
        <w:bottom w:val="none" w:sz="0" w:space="0" w:color="auto"/>
        <w:right w:val="none" w:sz="0" w:space="0" w:color="auto"/>
      </w:divBdr>
      <w:divsChild>
        <w:div w:id="1219703317">
          <w:marLeft w:val="0"/>
          <w:marRight w:val="0"/>
          <w:marTop w:val="0"/>
          <w:marBottom w:val="0"/>
          <w:divBdr>
            <w:top w:val="none" w:sz="0" w:space="0" w:color="auto"/>
            <w:left w:val="none" w:sz="0" w:space="0" w:color="auto"/>
            <w:bottom w:val="none" w:sz="0" w:space="0" w:color="auto"/>
            <w:right w:val="none" w:sz="0" w:space="0" w:color="auto"/>
          </w:divBdr>
          <w:divsChild>
            <w:div w:id="293949561">
              <w:marLeft w:val="0"/>
              <w:marRight w:val="0"/>
              <w:marTop w:val="0"/>
              <w:marBottom w:val="0"/>
              <w:divBdr>
                <w:top w:val="none" w:sz="0" w:space="0" w:color="auto"/>
                <w:left w:val="none" w:sz="0" w:space="0" w:color="auto"/>
                <w:bottom w:val="none" w:sz="0" w:space="0" w:color="auto"/>
                <w:right w:val="none" w:sz="0" w:space="0" w:color="auto"/>
              </w:divBdr>
              <w:divsChild>
                <w:div w:id="595477692">
                  <w:marLeft w:val="0"/>
                  <w:marRight w:val="0"/>
                  <w:marTop w:val="0"/>
                  <w:marBottom w:val="0"/>
                  <w:divBdr>
                    <w:top w:val="none" w:sz="0" w:space="0" w:color="auto"/>
                    <w:left w:val="none" w:sz="0" w:space="0" w:color="auto"/>
                    <w:bottom w:val="none" w:sz="0" w:space="0" w:color="auto"/>
                    <w:right w:val="none" w:sz="0" w:space="0" w:color="auto"/>
                  </w:divBdr>
                </w:div>
                <w:div w:id="1886404520">
                  <w:marLeft w:val="0"/>
                  <w:marRight w:val="0"/>
                  <w:marTop w:val="0"/>
                  <w:marBottom w:val="0"/>
                  <w:divBdr>
                    <w:top w:val="none" w:sz="0" w:space="0" w:color="auto"/>
                    <w:left w:val="none" w:sz="0" w:space="0" w:color="auto"/>
                    <w:bottom w:val="none" w:sz="0" w:space="0" w:color="auto"/>
                    <w:right w:val="none" w:sz="0" w:space="0" w:color="auto"/>
                  </w:divBdr>
                </w:div>
                <w:div w:id="94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2884">
      <w:bodyDiv w:val="1"/>
      <w:marLeft w:val="0"/>
      <w:marRight w:val="0"/>
      <w:marTop w:val="0"/>
      <w:marBottom w:val="0"/>
      <w:divBdr>
        <w:top w:val="none" w:sz="0" w:space="0" w:color="auto"/>
        <w:left w:val="none" w:sz="0" w:space="0" w:color="auto"/>
        <w:bottom w:val="none" w:sz="0" w:space="0" w:color="auto"/>
        <w:right w:val="none" w:sz="0" w:space="0" w:color="auto"/>
      </w:divBdr>
    </w:div>
    <w:div w:id="1627078011">
      <w:bodyDiv w:val="1"/>
      <w:marLeft w:val="0"/>
      <w:marRight w:val="0"/>
      <w:marTop w:val="0"/>
      <w:marBottom w:val="0"/>
      <w:divBdr>
        <w:top w:val="none" w:sz="0" w:space="0" w:color="auto"/>
        <w:left w:val="none" w:sz="0" w:space="0" w:color="auto"/>
        <w:bottom w:val="none" w:sz="0" w:space="0" w:color="auto"/>
        <w:right w:val="none" w:sz="0" w:space="0" w:color="auto"/>
      </w:divBdr>
    </w:div>
    <w:div w:id="1698234652">
      <w:bodyDiv w:val="1"/>
      <w:marLeft w:val="0"/>
      <w:marRight w:val="0"/>
      <w:marTop w:val="0"/>
      <w:marBottom w:val="0"/>
      <w:divBdr>
        <w:top w:val="none" w:sz="0" w:space="0" w:color="auto"/>
        <w:left w:val="none" w:sz="0" w:space="0" w:color="auto"/>
        <w:bottom w:val="none" w:sz="0" w:space="0" w:color="auto"/>
        <w:right w:val="none" w:sz="0" w:space="0" w:color="auto"/>
      </w:divBdr>
      <w:divsChild>
        <w:div w:id="11542172">
          <w:marLeft w:val="0"/>
          <w:marRight w:val="0"/>
          <w:marTop w:val="0"/>
          <w:marBottom w:val="0"/>
          <w:divBdr>
            <w:top w:val="none" w:sz="0" w:space="0" w:color="auto"/>
            <w:left w:val="none" w:sz="0" w:space="0" w:color="auto"/>
            <w:bottom w:val="none" w:sz="0" w:space="0" w:color="auto"/>
            <w:right w:val="none" w:sz="0" w:space="0" w:color="auto"/>
          </w:divBdr>
          <w:divsChild>
            <w:div w:id="416709497">
              <w:marLeft w:val="0"/>
              <w:marRight w:val="0"/>
              <w:marTop w:val="0"/>
              <w:marBottom w:val="0"/>
              <w:divBdr>
                <w:top w:val="none" w:sz="0" w:space="0" w:color="auto"/>
                <w:left w:val="none" w:sz="0" w:space="0" w:color="auto"/>
                <w:bottom w:val="none" w:sz="0" w:space="0" w:color="auto"/>
                <w:right w:val="none" w:sz="0" w:space="0" w:color="auto"/>
              </w:divBdr>
              <w:divsChild>
                <w:div w:id="9991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4725">
      <w:bodyDiv w:val="1"/>
      <w:marLeft w:val="0"/>
      <w:marRight w:val="0"/>
      <w:marTop w:val="0"/>
      <w:marBottom w:val="0"/>
      <w:divBdr>
        <w:top w:val="none" w:sz="0" w:space="0" w:color="auto"/>
        <w:left w:val="none" w:sz="0" w:space="0" w:color="auto"/>
        <w:bottom w:val="none" w:sz="0" w:space="0" w:color="auto"/>
        <w:right w:val="none" w:sz="0" w:space="0" w:color="auto"/>
      </w:divBdr>
    </w:div>
    <w:div w:id="1766880423">
      <w:bodyDiv w:val="1"/>
      <w:marLeft w:val="0"/>
      <w:marRight w:val="0"/>
      <w:marTop w:val="0"/>
      <w:marBottom w:val="0"/>
      <w:divBdr>
        <w:top w:val="none" w:sz="0" w:space="0" w:color="auto"/>
        <w:left w:val="none" w:sz="0" w:space="0" w:color="auto"/>
        <w:bottom w:val="none" w:sz="0" w:space="0" w:color="auto"/>
        <w:right w:val="none" w:sz="0" w:space="0" w:color="auto"/>
      </w:divBdr>
    </w:div>
    <w:div w:id="2022781042">
      <w:bodyDiv w:val="1"/>
      <w:marLeft w:val="0"/>
      <w:marRight w:val="0"/>
      <w:marTop w:val="0"/>
      <w:marBottom w:val="0"/>
      <w:divBdr>
        <w:top w:val="none" w:sz="0" w:space="0" w:color="auto"/>
        <w:left w:val="none" w:sz="0" w:space="0" w:color="auto"/>
        <w:bottom w:val="none" w:sz="0" w:space="0" w:color="auto"/>
        <w:right w:val="none" w:sz="0" w:space="0" w:color="auto"/>
      </w:divBdr>
      <w:divsChild>
        <w:div w:id="300886339">
          <w:marLeft w:val="0"/>
          <w:marRight w:val="0"/>
          <w:marTop w:val="0"/>
          <w:marBottom w:val="0"/>
          <w:divBdr>
            <w:top w:val="none" w:sz="0" w:space="0" w:color="auto"/>
            <w:left w:val="none" w:sz="0" w:space="0" w:color="auto"/>
            <w:bottom w:val="none" w:sz="0" w:space="0" w:color="auto"/>
            <w:right w:val="none" w:sz="0" w:space="0" w:color="auto"/>
          </w:divBdr>
          <w:divsChild>
            <w:div w:id="1521890104">
              <w:marLeft w:val="0"/>
              <w:marRight w:val="0"/>
              <w:marTop w:val="0"/>
              <w:marBottom w:val="0"/>
              <w:divBdr>
                <w:top w:val="none" w:sz="0" w:space="0" w:color="auto"/>
                <w:left w:val="none" w:sz="0" w:space="0" w:color="auto"/>
                <w:bottom w:val="none" w:sz="0" w:space="0" w:color="auto"/>
                <w:right w:val="none" w:sz="0" w:space="0" w:color="auto"/>
              </w:divBdr>
              <w:divsChild>
                <w:div w:id="15603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54E4-A049-4A3B-A0A8-B4050FF7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Barbara</dc:creator>
  <cp:lastModifiedBy>Benoit, Barbara</cp:lastModifiedBy>
  <cp:revision>2</cp:revision>
  <dcterms:created xsi:type="dcterms:W3CDTF">2017-10-11T20:02:00Z</dcterms:created>
  <dcterms:modified xsi:type="dcterms:W3CDTF">2017-10-11T20:02:00Z</dcterms:modified>
</cp:coreProperties>
</file>