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53" w:rsidRPr="001C6853" w:rsidRDefault="001C6853" w:rsidP="001C6853">
      <w:pPr>
        <w:spacing w:line="360" w:lineRule="auto"/>
        <w:jc w:val="center"/>
        <w:rPr>
          <w:b/>
          <w:szCs w:val="22"/>
        </w:rPr>
      </w:pPr>
      <w:r w:rsidRPr="001C6853">
        <w:rPr>
          <w:b/>
          <w:szCs w:val="22"/>
        </w:rPr>
        <w:t>Extraction of patient-centered outcome for prostate cancer patients – Urinary Incontinence</w:t>
      </w:r>
    </w:p>
    <w:p w:rsidR="001C6853" w:rsidRDefault="001C6853" w:rsidP="001C6853">
      <w:pPr>
        <w:spacing w:line="360" w:lineRule="auto"/>
        <w:jc w:val="center"/>
        <w:rPr>
          <w:szCs w:val="22"/>
        </w:rPr>
      </w:pPr>
      <w:r w:rsidRPr="005B7528">
        <w:rPr>
          <w:szCs w:val="22"/>
        </w:rPr>
        <w:t>Phenotype Algorithm Pseudo Code</w:t>
      </w:r>
    </w:p>
    <w:p w:rsidR="001C6853" w:rsidRPr="00465DF0" w:rsidRDefault="001C6853" w:rsidP="001C6853">
      <w:pPr>
        <w:spacing w:line="360" w:lineRule="auto"/>
        <w:jc w:val="center"/>
        <w:rPr>
          <w:b/>
          <w:szCs w:val="22"/>
        </w:rPr>
      </w:pPr>
    </w:p>
    <w:p w:rsidR="001C6853" w:rsidRPr="00465DF0" w:rsidRDefault="00465DF0" w:rsidP="001C6853">
      <w:pPr>
        <w:spacing w:line="360" w:lineRule="auto"/>
        <w:jc w:val="left"/>
        <w:rPr>
          <w:b/>
          <w:szCs w:val="22"/>
        </w:rPr>
      </w:pPr>
      <w:r w:rsidRPr="00465DF0">
        <w:rPr>
          <w:b/>
          <w:szCs w:val="22"/>
        </w:rPr>
        <w:t>Overview</w:t>
      </w:r>
    </w:p>
    <w:p w:rsidR="00465DF0" w:rsidRDefault="00465DF0" w:rsidP="00465DF0">
      <w:pPr>
        <w:rPr>
          <w:szCs w:val="22"/>
        </w:rPr>
      </w:pPr>
      <w:r>
        <w:rPr>
          <w:szCs w:val="22"/>
        </w:rPr>
        <w:t xml:space="preserve">Description of a </w:t>
      </w:r>
      <w:r w:rsidRPr="00465DF0">
        <w:rPr>
          <w:szCs w:val="22"/>
        </w:rPr>
        <w:t xml:space="preserve">weakly supervised machine learning </w:t>
      </w:r>
      <w:r>
        <w:rPr>
          <w:szCs w:val="22"/>
        </w:rPr>
        <w:t>approach</w:t>
      </w:r>
      <w:r w:rsidRPr="00465DF0">
        <w:rPr>
          <w:szCs w:val="22"/>
        </w:rPr>
        <w:t xml:space="preserve"> for extracting treatment-related side effects</w:t>
      </w:r>
      <w:r>
        <w:rPr>
          <w:szCs w:val="22"/>
        </w:rPr>
        <w:t xml:space="preserve"> (Urinary Incontinence)</w:t>
      </w:r>
      <w:r w:rsidRPr="00465DF0">
        <w:rPr>
          <w:szCs w:val="22"/>
        </w:rPr>
        <w:t xml:space="preserve"> following prostate cancer therapy from multiple types of </w:t>
      </w:r>
      <w:r w:rsidR="008000D8">
        <w:rPr>
          <w:szCs w:val="22"/>
        </w:rPr>
        <w:t xml:space="preserve">free-text </w:t>
      </w:r>
      <w:r w:rsidRPr="00465DF0">
        <w:rPr>
          <w:szCs w:val="22"/>
        </w:rPr>
        <w:t xml:space="preserve">clinical </w:t>
      </w:r>
      <w:r w:rsidR="008000D8">
        <w:rPr>
          <w:szCs w:val="22"/>
        </w:rPr>
        <w:t>narratives</w:t>
      </w:r>
      <w:r>
        <w:rPr>
          <w:szCs w:val="22"/>
        </w:rPr>
        <w:t>, including progress notes, discharge summaries, history and physical notes</w:t>
      </w:r>
      <w:r w:rsidRPr="00465DF0">
        <w:rPr>
          <w:szCs w:val="22"/>
        </w:rPr>
        <w:t>.</w:t>
      </w:r>
      <w:r>
        <w:rPr>
          <w:szCs w:val="22"/>
        </w:rPr>
        <w:t xml:space="preserve"> </w:t>
      </w:r>
      <w:r w:rsidR="008000D8" w:rsidRPr="008000D8">
        <w:rPr>
          <w:szCs w:val="22"/>
        </w:rPr>
        <w:t>Prostatectomy</w:t>
      </w:r>
      <w:r w:rsidR="008000D8">
        <w:rPr>
          <w:szCs w:val="22"/>
        </w:rPr>
        <w:t xml:space="preserve"> surgery</w:t>
      </w:r>
      <w:r>
        <w:rPr>
          <w:szCs w:val="22"/>
        </w:rPr>
        <w:t xml:space="preserve"> and radiation therapy are our treatments of interest</w:t>
      </w:r>
      <w:r w:rsidR="008000D8">
        <w:rPr>
          <w:szCs w:val="22"/>
        </w:rPr>
        <w:t xml:space="preserve"> for prostate cancer</w:t>
      </w:r>
      <w:r>
        <w:rPr>
          <w:szCs w:val="22"/>
        </w:rPr>
        <w:t>.</w:t>
      </w:r>
    </w:p>
    <w:p w:rsidR="00465DF0" w:rsidRPr="00465DF0" w:rsidRDefault="00465DF0" w:rsidP="00465DF0">
      <w:pPr>
        <w:rPr>
          <w:szCs w:val="22"/>
        </w:rPr>
      </w:pPr>
      <w:r w:rsidRPr="00465DF0">
        <w:rPr>
          <w:b/>
          <w:szCs w:val="22"/>
        </w:rPr>
        <w:t>Cohort generation</w:t>
      </w:r>
    </w:p>
    <w:p w:rsidR="00465DF0" w:rsidRPr="005B7528" w:rsidRDefault="00465DF0" w:rsidP="00465DF0">
      <w:pPr>
        <w:spacing w:line="360" w:lineRule="auto"/>
        <w:rPr>
          <w:szCs w:val="22"/>
        </w:rPr>
      </w:pPr>
      <w:r w:rsidRPr="005B7528">
        <w:rPr>
          <w:szCs w:val="22"/>
        </w:rPr>
        <w:t>The cohort is defined with the following</w:t>
      </w:r>
      <w:r>
        <w:rPr>
          <w:szCs w:val="22"/>
        </w:rPr>
        <w:t xml:space="preserve"> criteria</w:t>
      </w:r>
      <w:r w:rsidRPr="005B7528">
        <w:rPr>
          <w:szCs w:val="22"/>
        </w:rPr>
        <w:t>:</w:t>
      </w:r>
    </w:p>
    <w:p w:rsidR="00465DF0" w:rsidRPr="005B7528" w:rsidRDefault="00465DF0" w:rsidP="00465DF0">
      <w:pPr>
        <w:pStyle w:val="ListParagraph"/>
        <w:numPr>
          <w:ilvl w:val="0"/>
          <w:numId w:val="1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EHR of all male patients of 35 years of age or more, AND</w:t>
      </w:r>
    </w:p>
    <w:p w:rsidR="00465DF0" w:rsidRPr="005B7528" w:rsidRDefault="00465DF0" w:rsidP="00465DF0">
      <w:pPr>
        <w:pStyle w:val="ListParagraph"/>
        <w:numPr>
          <w:ilvl w:val="0"/>
          <w:numId w:val="1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is an ICD-9-CM / ICD-10-CM diagnosis of prostate cancer, AND</w:t>
      </w:r>
    </w:p>
    <w:p w:rsidR="00465DF0" w:rsidRPr="005B7528" w:rsidRDefault="00465DF0" w:rsidP="00465DF0">
      <w:pPr>
        <w:pStyle w:val="ListParagraph"/>
        <w:numPr>
          <w:ilvl w:val="0"/>
          <w:numId w:val="1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are at least two encounters before first treatment, AND</w:t>
      </w:r>
    </w:p>
    <w:p w:rsidR="00465DF0" w:rsidRPr="005B7528" w:rsidRDefault="00465DF0" w:rsidP="00465DF0">
      <w:pPr>
        <w:pStyle w:val="ListParagraph"/>
        <w:numPr>
          <w:ilvl w:val="0"/>
          <w:numId w:val="1"/>
        </w:numPr>
        <w:suppressAutoHyphens w:val="0"/>
        <w:spacing w:after="160" w:line="360" w:lineRule="auto"/>
        <w:jc w:val="left"/>
        <w:rPr>
          <w:szCs w:val="22"/>
        </w:rPr>
      </w:pPr>
      <w:r w:rsidRPr="005B7528">
        <w:rPr>
          <w:szCs w:val="22"/>
        </w:rPr>
        <w:t>For which there is at least one clinical notes before first treatment, AND</w:t>
      </w:r>
    </w:p>
    <w:p w:rsidR="00465DF0" w:rsidRDefault="00465DF0" w:rsidP="008000D8">
      <w:pPr>
        <w:pStyle w:val="ListParagraph"/>
        <w:numPr>
          <w:ilvl w:val="0"/>
          <w:numId w:val="1"/>
        </w:numPr>
        <w:suppressAutoHyphens w:val="0"/>
        <w:spacing w:after="160" w:line="360" w:lineRule="auto"/>
        <w:jc w:val="left"/>
        <w:rPr>
          <w:szCs w:val="22"/>
        </w:rPr>
      </w:pPr>
      <w:r>
        <w:rPr>
          <w:szCs w:val="22"/>
        </w:rPr>
        <w:t xml:space="preserve">For which there is either </w:t>
      </w:r>
      <w:r w:rsidR="008000D8">
        <w:rPr>
          <w:szCs w:val="22"/>
        </w:rPr>
        <w:t>p</w:t>
      </w:r>
      <w:r w:rsidR="008000D8" w:rsidRPr="008000D8">
        <w:rPr>
          <w:szCs w:val="22"/>
        </w:rPr>
        <w:t>rostatectomy</w:t>
      </w:r>
      <w:r>
        <w:rPr>
          <w:szCs w:val="22"/>
        </w:rPr>
        <w:t xml:space="preserve"> surgery or radiation procedure performed as identified by CPT codes.</w:t>
      </w:r>
    </w:p>
    <w:p w:rsidR="0066739B" w:rsidRDefault="0066739B" w:rsidP="0066739B">
      <w:pPr>
        <w:pStyle w:val="ListParagraph"/>
        <w:suppressAutoHyphens w:val="0"/>
        <w:spacing w:after="160" w:line="360" w:lineRule="auto"/>
        <w:ind w:firstLine="0"/>
        <w:jc w:val="left"/>
        <w:rPr>
          <w:szCs w:val="22"/>
        </w:rPr>
      </w:pPr>
    </w:p>
    <w:p w:rsidR="0066739B" w:rsidRDefault="0066739B" w:rsidP="0066739B">
      <w:pPr>
        <w:pStyle w:val="ListParagraph"/>
        <w:ind w:firstLine="0"/>
      </w:pPr>
      <w:r w:rsidRPr="0066739B">
        <w:rPr>
          <w:b/>
        </w:rPr>
        <w:t>Common terminology used for UI description</w:t>
      </w:r>
      <w:r>
        <w:t xml:space="preserve"> </w:t>
      </w:r>
    </w:p>
    <w:tbl>
      <w:tblPr>
        <w:tblW w:w="3920" w:type="dxa"/>
        <w:tblLook w:val="04A0" w:firstRow="1" w:lastRow="0" w:firstColumn="1" w:lastColumn="0" w:noHBand="0" w:noVBand="1"/>
      </w:tblPr>
      <w:tblGrid>
        <w:gridCol w:w="3920"/>
      </w:tblGrid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incontinence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incontinent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weak incontinence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 xml:space="preserve">incontinence of urine 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leakage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any leaks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any leak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significant problems with lower urinary tract symptoms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significant lower urinary tract symptoms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lastRenderedPageBreak/>
              <w:t>significant problems with urinary tract symptoms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lower urinary tract symptom</w:t>
            </w:r>
          </w:p>
        </w:tc>
      </w:tr>
      <w:tr w:rsidR="0066739B" w:rsidRPr="0066739B" w:rsidTr="0066739B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9B" w:rsidRPr="0066739B" w:rsidRDefault="0066739B" w:rsidP="0066739B">
            <w:pPr>
              <w:suppressAutoHyphens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</w:rPr>
            </w:pPr>
            <w:r w:rsidRPr="0066739B">
              <w:rPr>
                <w:rFonts w:ascii="Calibri" w:hAnsi="Calibri" w:cs="Calibri"/>
                <w:color w:val="000000"/>
                <w:sz w:val="24"/>
              </w:rPr>
              <w:t>lower urinary tract symptoms</w:t>
            </w:r>
          </w:p>
        </w:tc>
      </w:tr>
    </w:tbl>
    <w:p w:rsidR="0066739B" w:rsidRDefault="0066739B" w:rsidP="0066739B">
      <w:pPr>
        <w:pStyle w:val="ListParagraph"/>
        <w:suppressAutoHyphens w:val="0"/>
        <w:spacing w:after="160" w:line="360" w:lineRule="auto"/>
        <w:ind w:firstLine="0"/>
        <w:jc w:val="left"/>
        <w:rPr>
          <w:szCs w:val="22"/>
        </w:rPr>
      </w:pPr>
    </w:p>
    <w:p w:rsidR="00D00B5E" w:rsidRDefault="0066739B" w:rsidP="00D00B5E">
      <w:pPr>
        <w:suppressAutoHyphens w:val="0"/>
        <w:spacing w:after="160" w:line="360" w:lineRule="auto"/>
        <w:ind w:firstLine="0"/>
        <w:jc w:val="left"/>
      </w:pPr>
      <w:r w:rsidRPr="00D00B5E">
        <w:rPr>
          <w:szCs w:val="22"/>
        </w:rPr>
        <w:t xml:space="preserve">The whole vocabulary learnt can be found here -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</w:tblGrid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b/>
                <w:bCs/>
                <w:szCs w:val="22"/>
              </w:rPr>
              <w:t>Urinary_Incontinence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incontinent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weak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incontinence of urine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leakage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any leaks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any leak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significant problems with lower urinary tract symptoms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significant lower urinary tract symptoms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significant problems with urinary tract symptoms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lower urinary tract symptom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lower urinary tract symptoms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urinary tract symptoms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any voiding issues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urine leak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lastRenderedPageBreak/>
              <w:t xml:space="preserve">urinary leakage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urine leaking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urine leakage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urinary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urinary and fecal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urinary or fecal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urge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stress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stress urine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urinary stress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stress urinary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stress or urge incontinence </w:t>
            </w:r>
          </w:p>
        </w:tc>
      </w:tr>
      <w:tr w:rsidR="00D00B5E" w:rsidRPr="005D03F0" w:rsidTr="00E35C2C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urge or stress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involuntary urination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unable to hold urine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unable to control bladder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bladder control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bladder incontinence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unable to prevent bladder emptying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loss of bladder control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lastRenderedPageBreak/>
              <w:t xml:space="preserve">significant lower urinary tract symptoms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loss of urinary control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pads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pad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diapers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diaper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wears diaper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wear diapers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wears a diaper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wears a pad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wear a diaper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wears diapers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 micturition dribbling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post-micturition dribbling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 void dribbling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post-void dribbling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post-void leakage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 void leakage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postvoid dribbling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dribbles postvoid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lastRenderedPageBreak/>
              <w:t xml:space="preserve">dribbles post-void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post-void dribble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post-void dribbles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postvoid dribble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 xml:space="preserve">postvoid dribbles </w:t>
            </w:r>
          </w:p>
        </w:tc>
      </w:tr>
      <w:tr w:rsidR="00D00B5E" w:rsidRPr="005D03F0" w:rsidTr="00E35C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5E" w:rsidRPr="005D03F0" w:rsidRDefault="00D00B5E" w:rsidP="00E35C2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Cs w:val="22"/>
              </w:rPr>
            </w:pPr>
            <w:r w:rsidRPr="005D03F0">
              <w:rPr>
                <w:rFonts w:ascii="Times New Roman" w:hAnsi="Times New Roman" w:cs="Times New Roman"/>
                <w:szCs w:val="22"/>
              </w:rPr>
              <w:t>Incontinence: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D03F0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</w:tr>
    </w:tbl>
    <w:p w:rsidR="00C33089" w:rsidRDefault="00C33089" w:rsidP="00D00B5E">
      <w:pPr>
        <w:suppressAutoHyphens w:val="0"/>
        <w:spacing w:after="160" w:line="360" w:lineRule="auto"/>
        <w:ind w:firstLine="0"/>
        <w:jc w:val="left"/>
      </w:pPr>
      <w:bookmarkStart w:id="0" w:name="_GoBack"/>
      <w:bookmarkEnd w:id="0"/>
    </w:p>
    <w:p w:rsidR="00C33089" w:rsidRDefault="00C33089" w:rsidP="0066739B">
      <w:pPr>
        <w:pStyle w:val="ListParagraph"/>
        <w:suppressAutoHyphens w:val="0"/>
        <w:spacing w:after="160" w:line="360" w:lineRule="auto"/>
        <w:ind w:firstLine="0"/>
        <w:jc w:val="left"/>
        <w:rPr>
          <w:b/>
        </w:rPr>
      </w:pPr>
      <w:r w:rsidRPr="00C33089">
        <w:rPr>
          <w:b/>
        </w:rPr>
        <w:t>Characterization</w:t>
      </w:r>
    </w:p>
    <w:p w:rsidR="00C33089" w:rsidRDefault="00C33089" w:rsidP="0066739B">
      <w:pPr>
        <w:pStyle w:val="ListParagraph"/>
        <w:suppressAutoHyphens w:val="0"/>
        <w:spacing w:after="160" w:line="360" w:lineRule="auto"/>
        <w:ind w:firstLine="0"/>
        <w:jc w:val="left"/>
        <w:rPr>
          <w:color w:val="2A2A2A"/>
          <w:sz w:val="23"/>
          <w:szCs w:val="23"/>
          <w:shd w:val="clear" w:color="auto" w:fill="FFFFFF"/>
        </w:rPr>
      </w:pPr>
      <w:r>
        <w:rPr>
          <w:color w:val="2A2A2A"/>
          <w:sz w:val="23"/>
          <w:szCs w:val="23"/>
          <w:shd w:val="clear" w:color="auto" w:fill="FFFFFF"/>
        </w:rPr>
        <w:t xml:space="preserve">We classify each note as: </w:t>
      </w:r>
    </w:p>
    <w:p w:rsidR="00C33089" w:rsidRDefault="00C33089" w:rsidP="0066739B">
      <w:pPr>
        <w:pStyle w:val="ListParagraph"/>
        <w:suppressAutoHyphens w:val="0"/>
        <w:spacing w:after="160" w:line="360" w:lineRule="auto"/>
        <w:ind w:firstLine="0"/>
        <w:jc w:val="left"/>
        <w:rPr>
          <w:color w:val="2A2A2A"/>
          <w:sz w:val="23"/>
          <w:szCs w:val="23"/>
          <w:shd w:val="clear" w:color="auto" w:fill="FFFFFF"/>
        </w:rPr>
      </w:pPr>
      <w:r>
        <w:rPr>
          <w:color w:val="2A2A2A"/>
          <w:sz w:val="23"/>
          <w:szCs w:val="23"/>
          <w:shd w:val="clear" w:color="auto" w:fill="FFFFFF"/>
        </w:rPr>
        <w:t xml:space="preserve">(1) Affirmed: symptom present; </w:t>
      </w:r>
    </w:p>
    <w:p w:rsidR="00C33089" w:rsidRDefault="00C33089" w:rsidP="0066739B">
      <w:pPr>
        <w:pStyle w:val="ListParagraph"/>
        <w:suppressAutoHyphens w:val="0"/>
        <w:spacing w:after="160" w:line="360" w:lineRule="auto"/>
        <w:ind w:firstLine="0"/>
        <w:jc w:val="left"/>
        <w:rPr>
          <w:color w:val="2A2A2A"/>
          <w:sz w:val="23"/>
          <w:szCs w:val="23"/>
          <w:shd w:val="clear" w:color="auto" w:fill="FFFFFF"/>
        </w:rPr>
      </w:pPr>
      <w:r>
        <w:rPr>
          <w:color w:val="2A2A2A"/>
          <w:sz w:val="23"/>
          <w:szCs w:val="23"/>
          <w:shd w:val="clear" w:color="auto" w:fill="FFFFFF"/>
        </w:rPr>
        <w:t xml:space="preserve">(2) Negated: symptom negated; </w:t>
      </w:r>
    </w:p>
    <w:p w:rsidR="00C33089" w:rsidRDefault="00C33089" w:rsidP="0066739B">
      <w:pPr>
        <w:pStyle w:val="ListParagraph"/>
        <w:suppressAutoHyphens w:val="0"/>
        <w:spacing w:after="160" w:line="360" w:lineRule="auto"/>
        <w:ind w:firstLine="0"/>
        <w:jc w:val="left"/>
        <w:rPr>
          <w:color w:val="2A2A2A"/>
          <w:sz w:val="23"/>
          <w:szCs w:val="23"/>
          <w:shd w:val="clear" w:color="auto" w:fill="FFFFFF"/>
        </w:rPr>
      </w:pPr>
      <w:r>
        <w:rPr>
          <w:color w:val="2A2A2A"/>
          <w:sz w:val="23"/>
          <w:szCs w:val="23"/>
          <w:shd w:val="clear" w:color="auto" w:fill="FFFFFF"/>
        </w:rPr>
        <w:t>(3) Discussed Risk: clinician documented a discussion regarding risk of the symptom. </w:t>
      </w:r>
    </w:p>
    <w:p w:rsidR="00C33089" w:rsidRPr="00C33089" w:rsidRDefault="00C33089" w:rsidP="0066739B">
      <w:pPr>
        <w:pStyle w:val="ListParagraph"/>
        <w:suppressAutoHyphens w:val="0"/>
        <w:spacing w:after="160" w:line="360" w:lineRule="auto"/>
        <w:ind w:firstLine="0"/>
        <w:jc w:val="left"/>
        <w:rPr>
          <w:b/>
          <w:szCs w:val="22"/>
        </w:rPr>
      </w:pPr>
      <w:r>
        <w:rPr>
          <w:color w:val="2A2A2A"/>
          <w:sz w:val="23"/>
          <w:szCs w:val="23"/>
          <w:shd w:val="clear" w:color="auto" w:fill="FFFFFF"/>
        </w:rPr>
        <w:t>(4) Not discussed – no information present regarding the symtom</w:t>
      </w:r>
    </w:p>
    <w:p w:rsidR="00465DF0" w:rsidRPr="00465DF0" w:rsidRDefault="00465DF0" w:rsidP="001C6853">
      <w:pPr>
        <w:spacing w:line="360" w:lineRule="auto"/>
        <w:jc w:val="left"/>
        <w:rPr>
          <w:b/>
          <w:szCs w:val="22"/>
        </w:rPr>
      </w:pPr>
      <w:r w:rsidRPr="00465DF0">
        <w:rPr>
          <w:b/>
          <w:szCs w:val="22"/>
        </w:rPr>
        <w:t>Algorithm</w:t>
      </w:r>
    </w:p>
    <w:p w:rsidR="0004385F" w:rsidRDefault="008000D8" w:rsidP="0066739B">
      <w:r>
        <w:t>W</w:t>
      </w:r>
      <w:r w:rsidRPr="008000D8">
        <w:t xml:space="preserve">e extract urinary incontinence (UI) status from a range of clinical notes without considering manually engineered classification rules or large-scale manual annotations. For learning, the method exploits two sources of pre-existing medical knowledge: (1) </w:t>
      </w:r>
      <w:hyperlink r:id="rId5" w:history="1">
        <w:r w:rsidRPr="008000D8">
          <w:rPr>
            <w:rStyle w:val="Hyperlink"/>
          </w:rPr>
          <w:t>domain-specific dictionaries</w:t>
        </w:r>
      </w:hyperlink>
      <w:r w:rsidRPr="008000D8">
        <w:t xml:space="preserve"> that have been previously developed for implementing a rule-based information extraction system; and (2) publicly available </w:t>
      </w:r>
      <w:hyperlink r:id="rId6" w:history="1">
        <w:r w:rsidRPr="008000D8">
          <w:rPr>
            <w:rStyle w:val="Hyperlink"/>
          </w:rPr>
          <w:t>CLEVER</w:t>
        </w:r>
      </w:hyperlink>
      <w:r w:rsidRPr="008000D8">
        <w:t xml:space="preserve"> terminology that represents a vocabulary of terms that often present within clinical narratives.</w:t>
      </w:r>
      <w:r w:rsidR="0066739B">
        <w:t xml:space="preserve"> We extracted the UI status before (baseline) and after the treatment (3months, 6months, 12months and 24 months) at different time points based of date of encounters of the clinical notes.</w:t>
      </w:r>
    </w:p>
    <w:p w:rsidR="008000D8" w:rsidRPr="008000D8" w:rsidRDefault="008000D8" w:rsidP="008000D8">
      <w:pPr>
        <w:spacing w:line="360" w:lineRule="auto"/>
        <w:jc w:val="left"/>
        <w:rPr>
          <w:b/>
          <w:szCs w:val="22"/>
        </w:rPr>
      </w:pPr>
      <w:r w:rsidRPr="008000D8">
        <w:rPr>
          <w:b/>
          <w:szCs w:val="22"/>
        </w:rPr>
        <w:t>Flow diagram</w:t>
      </w:r>
    </w:p>
    <w:p w:rsidR="008000D8" w:rsidRDefault="008000D8" w:rsidP="008000D8">
      <w:r>
        <w:rPr>
          <w:noProof/>
        </w:rPr>
        <w:lastRenderedPageBreak/>
        <w:drawing>
          <wp:inline distT="0" distB="0" distL="0" distR="0" wp14:anchorId="07600B12" wp14:editId="0A9557AE">
            <wp:extent cx="5082595" cy="2845558"/>
            <wp:effectExtent l="0" t="0" r="3810" b="0"/>
            <wp:docPr id="2" name="Picture 2" descr="C:\af83328ff69b8d4d5bfda96d950dc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f83328ff69b8d4d5bfda96d950dc0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48" cy="285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D8" w:rsidRDefault="008000D8" w:rsidP="008000D8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</w:pPr>
      <w:r>
        <w:t>A weighted neural word embedding is used to generate sentence-level vectors where term weights are computed using term frequency and inverse document frequency (TF-idf) scoring mechanism, with sentence labels derived from a mapping against domain-specific dictionaries combined with CLEVER (weak supervision).</w:t>
      </w:r>
    </w:p>
    <w:p w:rsidR="008000D8" w:rsidRDefault="008000D8" w:rsidP="008000D8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</w:pPr>
      <w:r>
        <w:t>These sentence vectors are used to train a machine learning model to determine whether UI were affirmed or negated, and whether the clinician discussed risk with the patient.</w:t>
      </w:r>
    </w:p>
    <w:p w:rsidR="008000D8" w:rsidRDefault="008000D8" w:rsidP="008000D8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</w:pPr>
      <w:r>
        <w:t xml:space="preserve">Finally, we combine the sentence-level annotations using majority voting to assign a unique liable for the entire clinical note. </w:t>
      </w:r>
    </w:p>
    <w:p w:rsidR="008000D8" w:rsidRPr="008000D8" w:rsidRDefault="008000D8" w:rsidP="008000D8">
      <w:pPr>
        <w:spacing w:line="360" w:lineRule="auto"/>
        <w:jc w:val="left"/>
        <w:rPr>
          <w:b/>
          <w:szCs w:val="22"/>
        </w:rPr>
      </w:pPr>
      <w:r w:rsidRPr="008000D8">
        <w:rPr>
          <w:b/>
          <w:i/>
          <w:iCs/>
          <w:szCs w:val="22"/>
        </w:rPr>
        <w:t>Github code</w:t>
      </w:r>
    </w:p>
    <w:p w:rsidR="008000D8" w:rsidRPr="0066739B" w:rsidRDefault="008000D8" w:rsidP="0066739B">
      <w:pPr>
        <w:pStyle w:val="NormalWeb"/>
        <w:spacing w:line="48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Our </w:t>
      </w:r>
      <w:r w:rsidRPr="008000D8">
        <w:rPr>
          <w:rFonts w:ascii="Arial" w:eastAsia="Times New Roman" w:hAnsi="Arial" w:cs="Arial"/>
          <w:sz w:val="22"/>
        </w:rPr>
        <w:t>code</w:t>
      </w:r>
      <w:r>
        <w:rPr>
          <w:rFonts w:ascii="Arial" w:eastAsia="Times New Roman" w:hAnsi="Arial" w:cs="Arial"/>
          <w:sz w:val="22"/>
        </w:rPr>
        <w:t xml:space="preserve"> base</w:t>
      </w:r>
      <w:r w:rsidRPr="008000D8">
        <w:rPr>
          <w:rFonts w:ascii="Arial" w:eastAsia="Times New Roman" w:hAnsi="Arial" w:cs="Arial"/>
          <w:sz w:val="22"/>
        </w:rPr>
        <w:t xml:space="preserve"> can be clone from here (</w:t>
      </w:r>
      <w:hyperlink r:id="rId8" w:history="1">
        <w:r w:rsidRPr="008000D8">
          <w:rPr>
            <w:rStyle w:val="Hyperlink"/>
            <w:rFonts w:ascii="Arial" w:eastAsia="Times New Roman" w:hAnsi="Arial" w:cs="Arial"/>
            <w:sz w:val="22"/>
          </w:rPr>
          <w:t>git@github.com:imonban/UI_Incontinence.git</w:t>
        </w:r>
      </w:hyperlink>
      <w:r w:rsidRPr="008000D8">
        <w:rPr>
          <w:rFonts w:ascii="Arial" w:eastAsia="Times New Roman" w:hAnsi="Arial" w:cs="Arial"/>
          <w:sz w:val="22"/>
        </w:rPr>
        <w:t>) which takes a csv file as input with man</w:t>
      </w:r>
      <w:r w:rsidR="00FB5955">
        <w:rPr>
          <w:rFonts w:ascii="Arial" w:eastAsia="Times New Roman" w:hAnsi="Arial" w:cs="Arial"/>
          <w:sz w:val="22"/>
        </w:rPr>
        <w:t>datory fields (case- sensitive)</w:t>
      </w:r>
      <w:r w:rsidRPr="008000D8">
        <w:rPr>
          <w:rFonts w:ascii="Arial" w:eastAsia="Times New Roman" w:hAnsi="Arial" w:cs="Arial"/>
          <w:sz w:val="22"/>
        </w:rPr>
        <w:t>:</w:t>
      </w:r>
      <w:r w:rsidR="00FB5955">
        <w:rPr>
          <w:rFonts w:ascii="Arial" w:eastAsia="Times New Roman" w:hAnsi="Arial" w:cs="Arial"/>
          <w:sz w:val="22"/>
        </w:rPr>
        <w:t xml:space="preserve"> </w:t>
      </w:r>
      <w:r w:rsidRPr="008000D8">
        <w:rPr>
          <w:rFonts w:ascii="Arial" w:eastAsia="Times New Roman" w:hAnsi="Arial" w:cs="Arial"/>
          <w:sz w:val="22"/>
        </w:rPr>
        <w:t xml:space="preserve">'PAT_DEID', 'NOTE_DEID', 'NOTE', 'NOTE_DATE', and outputs a csv file with note level </w:t>
      </w:r>
      <w:r w:rsidR="0066739B">
        <w:rPr>
          <w:rFonts w:ascii="Arial" w:eastAsia="Times New Roman" w:hAnsi="Arial" w:cs="Arial"/>
          <w:sz w:val="22"/>
        </w:rPr>
        <w:t>annotations.</w:t>
      </w:r>
    </w:p>
    <w:sectPr w:rsidR="008000D8" w:rsidRPr="0066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33F"/>
    <w:multiLevelType w:val="hybridMultilevel"/>
    <w:tmpl w:val="C728C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153C4"/>
    <w:multiLevelType w:val="multilevel"/>
    <w:tmpl w:val="77B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23013"/>
    <w:multiLevelType w:val="multilevel"/>
    <w:tmpl w:val="EA3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95EEA"/>
    <w:multiLevelType w:val="hybridMultilevel"/>
    <w:tmpl w:val="207EC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3"/>
    <w:rsid w:val="0004385F"/>
    <w:rsid w:val="001C6853"/>
    <w:rsid w:val="00465DF0"/>
    <w:rsid w:val="0066739B"/>
    <w:rsid w:val="006C00F8"/>
    <w:rsid w:val="008000D8"/>
    <w:rsid w:val="00C33089"/>
    <w:rsid w:val="00D00B5E"/>
    <w:rsid w:val="00F10183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FBDE"/>
  <w15:chartTrackingRefBased/>
  <w15:docId w15:val="{186E2DD2-5794-4D11-90C6-5AC1FB94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853"/>
    <w:pPr>
      <w:suppressAutoHyphens/>
      <w:spacing w:after="120" w:line="480" w:lineRule="auto"/>
      <w:ind w:firstLine="720"/>
      <w:jc w:val="both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8000D8"/>
    <w:pPr>
      <w:suppressAutoHyphens w:val="0"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00D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00D8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8000D8"/>
    <w:rPr>
      <w:i/>
      <w:iCs/>
    </w:rPr>
  </w:style>
  <w:style w:type="character" w:styleId="Hyperlink">
    <w:name w:val="Hyperlink"/>
    <w:basedOn w:val="DefaultParagraphFont"/>
    <w:uiPriority w:val="99"/>
    <w:unhideWhenUsed/>
    <w:rsid w:val="0080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boussard/Library/Containers/com.apple.mail/Data/Library/Mail%20Downloads/A254A1F5-3892-4A95-ADC1-FEACBD0428C9/git@github.com:imonban/UI_Incontinence.g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tamang/CLEVER/blob/master/res/dicts/base/clever_base_terminology.txt" TargetMode="External"/><Relationship Id="rId5" Type="http://schemas.openxmlformats.org/officeDocument/2006/relationships/hyperlink" Target="https://github.com/imonban/UI_Incontinence/blob/master/dic/terms_dictionary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Imon Banerjee</dc:creator>
  <cp:keywords/>
  <dc:description/>
  <cp:lastModifiedBy>Tina Hernandez-Boussard</cp:lastModifiedBy>
  <cp:revision>2</cp:revision>
  <dcterms:created xsi:type="dcterms:W3CDTF">2019-09-20T04:36:00Z</dcterms:created>
  <dcterms:modified xsi:type="dcterms:W3CDTF">2019-09-20T04:36:00Z</dcterms:modified>
</cp:coreProperties>
</file>