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6580C" w14:textId="04314A78" w:rsidR="00CA7C7E" w:rsidRDefault="00570CD9">
      <w:r>
        <w:t xml:space="preserve">Phenotype </w:t>
      </w:r>
      <w:proofErr w:type="spellStart"/>
      <w:r w:rsidR="00B753A3">
        <w:t>P</w:t>
      </w:r>
      <w:r>
        <w:t>seudocode</w:t>
      </w:r>
      <w:proofErr w:type="spellEnd"/>
      <w:r>
        <w:t xml:space="preserve"> for Community Associated Methicillin-resistant </w:t>
      </w:r>
      <w:r w:rsidRPr="00650787">
        <w:rPr>
          <w:i/>
        </w:rPr>
        <w:t>Staphylococcus aureus</w:t>
      </w:r>
      <w:r>
        <w:t xml:space="preserve"> (CA-MRSA)</w:t>
      </w:r>
    </w:p>
    <w:p w14:paraId="189C894C" w14:textId="77777777" w:rsidR="00FE1366" w:rsidRPr="00FE1366" w:rsidRDefault="00FE1366">
      <w:pPr>
        <w:rPr>
          <w:b/>
        </w:rPr>
      </w:pPr>
      <w:r w:rsidRPr="00FE1366">
        <w:rPr>
          <w:b/>
        </w:rPr>
        <w:t>Background:</w:t>
      </w:r>
    </w:p>
    <w:p w14:paraId="484BE048" w14:textId="77777777" w:rsidR="00570CD9" w:rsidRDefault="00570CD9">
      <w:r>
        <w:t xml:space="preserve">Methicillin-resistant </w:t>
      </w:r>
      <w:r w:rsidRPr="009E7289">
        <w:rPr>
          <w:i/>
        </w:rPr>
        <w:t>Staphylococcus aureus</w:t>
      </w:r>
      <w:r>
        <w:t xml:space="preserve"> now represents the most common cause of skin and soft tissue infections (SSTIs) in the U.S.  Community-</w:t>
      </w:r>
      <w:r w:rsidR="00B753A3">
        <w:t>a</w:t>
      </w:r>
      <w:r>
        <w:t>ssociated MRSA (CA-MRSA) has replaced healthcare associated strains in many communities.  CA-MRSA strains express increased virulence factors leading to in</w:t>
      </w:r>
      <w:r w:rsidR="00260E5E">
        <w:t xml:space="preserve">creased tissue destruction and </w:t>
      </w:r>
      <w:r>
        <w:t>more severe infections.  Genetic host factors are suspected as a risk factor for recurrent infection with CA-MRSA, with an increased prevalence in younger,</w:t>
      </w:r>
      <w:r w:rsidR="006B40C5">
        <w:t xml:space="preserve"> healthier populations.  </w:t>
      </w:r>
    </w:p>
    <w:p w14:paraId="21E8026D" w14:textId="77777777" w:rsidR="00500169" w:rsidRDefault="00570CD9" w:rsidP="00500169">
      <w:r>
        <w:t>We propose development of an algorithm to identify patients infected with CA-MRSA</w:t>
      </w:r>
      <w:r w:rsidR="002F2689">
        <w:t xml:space="preserve"> for subsequent genome wide association study (GWAS)</w:t>
      </w:r>
      <w:r>
        <w:t xml:space="preserve">.  </w:t>
      </w:r>
      <w:r w:rsidR="008B52D0">
        <w:t>As m</w:t>
      </w:r>
      <w:r>
        <w:t>any patients with CA-MRSA are diagnosed clinically and treated empirically</w:t>
      </w:r>
      <w:r w:rsidR="008B52D0">
        <w:t xml:space="preserve"> this</w:t>
      </w:r>
      <w:r>
        <w:t xml:space="preserve"> algorithm </w:t>
      </w:r>
      <w:r w:rsidR="008B52D0">
        <w:t>aims to</w:t>
      </w:r>
      <w:r w:rsidR="006B40C5">
        <w:t xml:space="preserve"> more narrowly define cases as </w:t>
      </w:r>
      <w:r w:rsidR="008B52D0">
        <w:t xml:space="preserve">patients with </w:t>
      </w:r>
      <w:r w:rsidR="008B52D0" w:rsidRPr="00763557">
        <w:t>culture-</w:t>
      </w:r>
      <w:r w:rsidR="00763557">
        <w:t xml:space="preserve">confirmed </w:t>
      </w:r>
      <w:r w:rsidR="00500169" w:rsidRPr="00763557">
        <w:t>MRSA infections</w:t>
      </w:r>
      <w:r w:rsidR="00500169">
        <w:t xml:space="preserve">.  In particular our target cohort is to identify the population of younger, healthier patients with MRSA SSTIs as at highest likelihood of having a genetic predisposition to infection with CA-MRSA.  </w:t>
      </w:r>
      <w:r w:rsidR="00B753A3">
        <w:t>Comparison patients</w:t>
      </w:r>
      <w:r>
        <w:t xml:space="preserve"> </w:t>
      </w:r>
      <w:r w:rsidR="009E7289">
        <w:t>(</w:t>
      </w:r>
      <w:r w:rsidR="00B753A3">
        <w:t>“</w:t>
      </w:r>
      <w:r w:rsidR="009E7289">
        <w:t>controls</w:t>
      </w:r>
      <w:r w:rsidR="00B753A3">
        <w:t>”</w:t>
      </w:r>
      <w:r w:rsidR="009E7289">
        <w:t xml:space="preserve">) </w:t>
      </w:r>
      <w:r>
        <w:t>will be defined as confirmed MRSA-screen negative patie</w:t>
      </w:r>
      <w:r w:rsidR="006E26B0">
        <w:t xml:space="preserve">nts. </w:t>
      </w:r>
      <w:r>
        <w:t xml:space="preserve"> </w:t>
      </w:r>
    </w:p>
    <w:p w14:paraId="5CB1C206" w14:textId="77777777" w:rsidR="00570CD9" w:rsidRDefault="00570CD9">
      <w:r>
        <w:t>We will implement the algorithm across multiple institutions to achieve adequate power</w:t>
      </w:r>
      <w:r w:rsidR="002F2689">
        <w:t xml:space="preserve"> for GWAS with a goal of at least 1500 cases and 1500 controls</w:t>
      </w:r>
      <w:r>
        <w:t xml:space="preserve">.    </w:t>
      </w:r>
    </w:p>
    <w:p w14:paraId="2A6D4363" w14:textId="4A5AC204" w:rsidR="000B4395" w:rsidRDefault="006B40C5">
      <w:r>
        <w:t>Our</w:t>
      </w:r>
      <w:r w:rsidR="000B4395">
        <w:t xml:space="preserve"> emphasis</w:t>
      </w:r>
      <w:r w:rsidR="00942CB5">
        <w:t xml:space="preserve"> is</w:t>
      </w:r>
      <w:r w:rsidR="000B4395">
        <w:t xml:space="preserve"> on isolating a potential genetic association (host)</w:t>
      </w:r>
      <w:r>
        <w:t>, and leveraging d</w:t>
      </w:r>
      <w:r w:rsidR="00621941">
        <w:t>ata captured routinely in EHRs shapes our algorithm definition to:</w:t>
      </w:r>
    </w:p>
    <w:p w14:paraId="3CBEF353" w14:textId="77777777" w:rsidR="00621941" w:rsidRDefault="00621941" w:rsidP="00500169">
      <w:pPr>
        <w:pStyle w:val="ListParagraph"/>
        <w:numPr>
          <w:ilvl w:val="0"/>
          <w:numId w:val="1"/>
        </w:numPr>
      </w:pPr>
      <w:r>
        <w:t>Err on the side of specificity over sensitivity.</w:t>
      </w:r>
    </w:p>
    <w:p w14:paraId="04898023" w14:textId="77777777" w:rsidR="00621941" w:rsidRDefault="00500169" w:rsidP="00500169">
      <w:pPr>
        <w:pStyle w:val="ListParagraph"/>
        <w:numPr>
          <w:ilvl w:val="0"/>
          <w:numId w:val="1"/>
        </w:numPr>
      </w:pPr>
      <w:r>
        <w:t>Focus on data elements which are likely to be reliably captured in EHRs</w:t>
      </w:r>
    </w:p>
    <w:p w14:paraId="2D81D8E8" w14:textId="65A06752" w:rsidR="00CF1099" w:rsidRDefault="00CF1099" w:rsidP="00CF1099">
      <w:r>
        <w:t>This approach may require fewer data sources, but where that data is available, can allow us to define cases according to the CDC’s clinical definition of CA-MRSA</w:t>
      </w:r>
      <w:r w:rsidR="00CD3251">
        <w:t xml:space="preserve">, </w:t>
      </w:r>
      <w:r w:rsidR="00787748">
        <w:t xml:space="preserve">listed </w:t>
      </w:r>
      <w:r w:rsidR="00CD3251">
        <w:t>below</w:t>
      </w:r>
      <w:r w:rsidR="009261B0">
        <w:t xml:space="preserve">.  </w:t>
      </w:r>
      <w:r w:rsidR="008A2F47">
        <w:t xml:space="preserve">We may not be able to abide by this criteria 100%, but we </w:t>
      </w:r>
      <w:r w:rsidR="00C94334">
        <w:t xml:space="preserve">will </w:t>
      </w:r>
      <w:r w:rsidR="008A2F47">
        <w:t>do the best we can with available EHR data</w:t>
      </w:r>
      <w:r>
        <w:t>:</w:t>
      </w:r>
    </w:p>
    <w:p w14:paraId="696B02F0" w14:textId="77777777" w:rsidR="00CF1099" w:rsidRDefault="00CF1099" w:rsidP="00CF1099">
      <w:pPr>
        <w:spacing w:after="0"/>
      </w:pPr>
      <w:r>
        <w:t>•Diagnosis of MRSA was made in the outpatient setting or by a culture positive for MRSA within 72 hours after admission to the hospital.</w:t>
      </w:r>
    </w:p>
    <w:p w14:paraId="495C960A" w14:textId="77777777" w:rsidR="00CF1099" w:rsidRDefault="00CF1099" w:rsidP="00CF1099">
      <w:pPr>
        <w:spacing w:after="0"/>
      </w:pPr>
      <w:r>
        <w:t>•No medical history of MRSA infection or colonization.</w:t>
      </w:r>
    </w:p>
    <w:p w14:paraId="7FF4EA33" w14:textId="77777777" w:rsidR="00CF1099" w:rsidRDefault="00CF1099" w:rsidP="00CF1099">
      <w:pPr>
        <w:spacing w:after="0"/>
      </w:pPr>
      <w:r>
        <w:t xml:space="preserve">•No medical history in the past year of: </w:t>
      </w:r>
    </w:p>
    <w:p w14:paraId="71C9AE4B" w14:textId="77777777" w:rsidR="00CF1099" w:rsidRDefault="00CF1099" w:rsidP="00CF1099">
      <w:pPr>
        <w:pStyle w:val="ListParagraph"/>
        <w:numPr>
          <w:ilvl w:val="0"/>
          <w:numId w:val="2"/>
        </w:numPr>
        <w:spacing w:after="0"/>
      </w:pPr>
      <w:r>
        <w:t>Hospitalization</w:t>
      </w:r>
    </w:p>
    <w:p w14:paraId="6130788B" w14:textId="77777777" w:rsidR="00CF1099" w:rsidRDefault="00CF1099" w:rsidP="00CF1099">
      <w:pPr>
        <w:pStyle w:val="ListParagraph"/>
        <w:numPr>
          <w:ilvl w:val="0"/>
          <w:numId w:val="2"/>
        </w:numPr>
        <w:spacing w:after="0"/>
      </w:pPr>
      <w:r>
        <w:t>Admission to a nursing home, skilled nursing facility, or hospice</w:t>
      </w:r>
    </w:p>
    <w:p w14:paraId="1B8D4BBC" w14:textId="77777777" w:rsidR="00CF1099" w:rsidRDefault="00CF1099" w:rsidP="00CF1099">
      <w:pPr>
        <w:pStyle w:val="ListParagraph"/>
        <w:numPr>
          <w:ilvl w:val="0"/>
          <w:numId w:val="2"/>
        </w:numPr>
        <w:spacing w:after="0"/>
      </w:pPr>
      <w:r>
        <w:t>Dialysis</w:t>
      </w:r>
    </w:p>
    <w:p w14:paraId="169F199B" w14:textId="77777777" w:rsidR="00CF1099" w:rsidRDefault="00CF1099" w:rsidP="00CF1099">
      <w:pPr>
        <w:pStyle w:val="ListParagraph"/>
        <w:numPr>
          <w:ilvl w:val="0"/>
          <w:numId w:val="2"/>
        </w:numPr>
        <w:spacing w:after="0"/>
      </w:pPr>
      <w:r>
        <w:t>Surgery</w:t>
      </w:r>
    </w:p>
    <w:p w14:paraId="70A60C86" w14:textId="77777777" w:rsidR="00CF1099" w:rsidRDefault="00CF1099" w:rsidP="00CF1099">
      <w:pPr>
        <w:spacing w:after="0"/>
      </w:pPr>
      <w:r>
        <w:t>•No permanent indwelling catheters or medical devices that pass through the skin into the body.</w:t>
      </w:r>
    </w:p>
    <w:p w14:paraId="2D3B59E1" w14:textId="77777777" w:rsidR="00500169" w:rsidRDefault="00500169"/>
    <w:p w14:paraId="4131E89B" w14:textId="77777777" w:rsidR="00787748" w:rsidRDefault="00787748">
      <w:pPr>
        <w:rPr>
          <w:rFonts w:eastAsia="Times New Roman" w:cs="Times New Roman"/>
          <w:b/>
          <w:bCs/>
        </w:rPr>
      </w:pPr>
      <w:r>
        <w:rPr>
          <w:rFonts w:eastAsia="Times New Roman" w:cs="Times New Roman"/>
          <w:b/>
          <w:bCs/>
        </w:rPr>
        <w:br w:type="page"/>
      </w:r>
    </w:p>
    <w:p w14:paraId="5648D1C4" w14:textId="55A8A0E9" w:rsidR="00066DAB" w:rsidRDefault="00500169" w:rsidP="00021708">
      <w:pPr>
        <w:rPr>
          <w:rFonts w:eastAsia="Times New Roman" w:cs="Times New Roman"/>
          <w:b/>
          <w:bCs/>
        </w:rPr>
      </w:pPr>
      <w:r w:rsidRPr="00C27C3F">
        <w:rPr>
          <w:rFonts w:eastAsia="Times New Roman" w:cs="Times New Roman"/>
          <w:b/>
          <w:bCs/>
        </w:rPr>
        <w:lastRenderedPageBreak/>
        <w:t xml:space="preserve">Algorithm: </w:t>
      </w:r>
    </w:p>
    <w:p w14:paraId="42A41EED" w14:textId="77777777" w:rsidR="00066DAB" w:rsidRDefault="00066DAB" w:rsidP="00500169">
      <w:pPr>
        <w:spacing w:after="0" w:line="240" w:lineRule="auto"/>
        <w:rPr>
          <w:rFonts w:eastAsia="Times New Roman" w:cs="Times New Roman"/>
          <w:b/>
          <w:bCs/>
        </w:rPr>
      </w:pPr>
      <w:r>
        <w:rPr>
          <w:rFonts w:eastAsia="Times New Roman" w:cs="Times New Roman"/>
          <w:b/>
          <w:bCs/>
        </w:rPr>
        <w:t xml:space="preserve">Refer to the Appendix of Definitions below </w:t>
      </w:r>
      <w:r w:rsidR="009A656C">
        <w:rPr>
          <w:rFonts w:eastAsia="Times New Roman" w:cs="Times New Roman"/>
          <w:b/>
          <w:bCs/>
        </w:rPr>
        <w:t>for the details on what to search for the numbered footnotes.</w:t>
      </w:r>
    </w:p>
    <w:p w14:paraId="2D4331F5" w14:textId="77777777" w:rsidR="00066DAB" w:rsidRPr="00C27C3F" w:rsidRDefault="00066DAB" w:rsidP="00500169">
      <w:pPr>
        <w:spacing w:after="0" w:line="240" w:lineRule="auto"/>
        <w:rPr>
          <w:rFonts w:eastAsia="Times New Roman" w:cs="Times New Roman"/>
          <w:b/>
          <w:bCs/>
        </w:rPr>
      </w:pPr>
    </w:p>
    <w:p w14:paraId="05E03EE7" w14:textId="77777777" w:rsidR="00500169" w:rsidRDefault="00500169" w:rsidP="00500169">
      <w:pPr>
        <w:spacing w:after="0" w:line="240" w:lineRule="auto"/>
        <w:rPr>
          <w:rFonts w:eastAsia="Times New Roman" w:cs="Times New Roman"/>
          <w:b/>
          <w:bCs/>
        </w:rPr>
      </w:pPr>
      <w:r w:rsidRPr="00C27C3F">
        <w:rPr>
          <w:rFonts w:eastAsia="Times New Roman" w:cs="Times New Roman"/>
          <w:b/>
          <w:bCs/>
        </w:rPr>
        <w:t xml:space="preserve">Case Definition: </w:t>
      </w:r>
    </w:p>
    <w:p w14:paraId="0FC16602" w14:textId="544F9E07" w:rsidR="009103CC" w:rsidRPr="006B4385" w:rsidRDefault="00B67978" w:rsidP="00500169">
      <w:pPr>
        <w:spacing w:after="0" w:line="240" w:lineRule="auto"/>
        <w:rPr>
          <w:rFonts w:eastAsia="Times New Roman" w:cs="Times New Roman"/>
          <w:b/>
          <w:bCs/>
          <w:u w:val="single"/>
        </w:rPr>
      </w:pPr>
      <w:r w:rsidRPr="006B4385">
        <w:rPr>
          <w:rFonts w:eastAsia="Times New Roman" w:cs="Times New Roman"/>
          <w:b/>
          <w:bCs/>
          <w:u w:val="single"/>
        </w:rPr>
        <w:t xml:space="preserve">1: </w:t>
      </w:r>
      <w:r w:rsidR="009103CC" w:rsidRPr="006B4385">
        <w:rPr>
          <w:rFonts w:eastAsia="Times New Roman" w:cs="Times New Roman"/>
          <w:b/>
          <w:bCs/>
          <w:u w:val="single"/>
        </w:rPr>
        <w:t>General Inclusion Criteria:</w:t>
      </w:r>
    </w:p>
    <w:p w14:paraId="06D9CE8E" w14:textId="77777777" w:rsidR="00CA19FE" w:rsidRPr="00500169" w:rsidRDefault="00CA19FE" w:rsidP="00500169">
      <w:pPr>
        <w:spacing w:after="0" w:line="240" w:lineRule="auto"/>
        <w:rPr>
          <w:rFonts w:eastAsia="Times New Roman" w:cs="Times New Roman"/>
          <w:b/>
          <w:bCs/>
        </w:rPr>
      </w:pPr>
    </w:p>
    <w:p w14:paraId="6CD5DE9F" w14:textId="090F8E6F" w:rsidR="00C57B64" w:rsidRDefault="009103CC" w:rsidP="00A05D53">
      <w:r>
        <w:t>All p</w:t>
      </w:r>
      <w:r w:rsidR="00621941">
        <w:t>atients</w:t>
      </w:r>
      <w:r w:rsidR="000C60CC">
        <w:t xml:space="preserve">, aged 0 to </w:t>
      </w:r>
      <w:r w:rsidR="00D7212E">
        <w:t>89</w:t>
      </w:r>
      <w:r w:rsidR="00621941">
        <w:t>.</w:t>
      </w:r>
    </w:p>
    <w:p w14:paraId="31618CC0" w14:textId="1DB7D002" w:rsidR="00B67978" w:rsidRPr="006B4385" w:rsidRDefault="00B67978" w:rsidP="00B67978">
      <w:pPr>
        <w:spacing w:after="0" w:line="240" w:lineRule="auto"/>
        <w:rPr>
          <w:rFonts w:eastAsia="Times New Roman" w:cs="Times New Roman"/>
          <w:b/>
          <w:bCs/>
          <w:u w:val="single"/>
        </w:rPr>
      </w:pPr>
      <w:r w:rsidRPr="006B4385">
        <w:rPr>
          <w:rFonts w:eastAsia="Times New Roman" w:cs="Times New Roman"/>
          <w:b/>
          <w:bCs/>
          <w:u w:val="single"/>
        </w:rPr>
        <w:t>2: caMRSA Case Criteria:</w:t>
      </w:r>
    </w:p>
    <w:p w14:paraId="1A590268" w14:textId="7F540C2F" w:rsidR="00B67978" w:rsidRPr="006B4385" w:rsidRDefault="00B67978">
      <w:pPr>
        <w:rPr>
          <w:b/>
        </w:rPr>
      </w:pPr>
      <w:r w:rsidRPr="006B4385">
        <w:rPr>
          <w:b/>
        </w:rPr>
        <w:t xml:space="preserve">2a: </w:t>
      </w:r>
      <w:r w:rsidR="001316E5" w:rsidRPr="006B4385">
        <w:rPr>
          <w:b/>
        </w:rPr>
        <w:t xml:space="preserve">Gold standard </w:t>
      </w:r>
      <w:r w:rsidRPr="006B4385">
        <w:rPr>
          <w:b/>
        </w:rPr>
        <w:t xml:space="preserve">MRSA </w:t>
      </w:r>
      <w:r w:rsidR="001316E5" w:rsidRPr="006B4385">
        <w:rPr>
          <w:b/>
        </w:rPr>
        <w:t xml:space="preserve">definition: </w:t>
      </w:r>
    </w:p>
    <w:p w14:paraId="67C760B8" w14:textId="63BE020E" w:rsidR="00621941" w:rsidRDefault="00344DC6" w:rsidP="00341308">
      <w:pPr>
        <w:ind w:left="720"/>
        <w:rPr>
          <w:vertAlign w:val="superscript"/>
        </w:rPr>
      </w:pPr>
      <w:r>
        <w:t>Bacteria c</w:t>
      </w:r>
      <w:r w:rsidR="00621941">
        <w:t>ulture-confirmed MRSA</w:t>
      </w:r>
      <w:r w:rsidR="009F0C23" w:rsidRPr="009F0C23">
        <w:rPr>
          <w:vertAlign w:val="superscript"/>
        </w:rPr>
        <w:t>2</w:t>
      </w:r>
    </w:p>
    <w:p w14:paraId="1DE4D1E8" w14:textId="77777777" w:rsidR="009103CC" w:rsidRDefault="009103CC" w:rsidP="00341308">
      <w:pPr>
        <w:ind w:left="720"/>
      </w:pPr>
      <w:r>
        <w:t>AND</w:t>
      </w:r>
    </w:p>
    <w:p w14:paraId="6E5571A4" w14:textId="05589CE7" w:rsidR="009103CC" w:rsidRDefault="009103CC" w:rsidP="00341308">
      <w:pPr>
        <w:ind w:left="720"/>
      </w:pPr>
      <w:r>
        <w:t xml:space="preserve">Culture drawn in the outpatient (including emergency department) setting, or within 72 </w:t>
      </w:r>
      <w:r w:rsidR="00021708">
        <w:t>hours</w:t>
      </w:r>
      <w:r>
        <w:t xml:space="preserve"> of admission as an inpatient.  </w:t>
      </w:r>
    </w:p>
    <w:p w14:paraId="5EF5A1E7" w14:textId="77777777" w:rsidR="009103CC" w:rsidRDefault="009103CC" w:rsidP="00341308">
      <w:pPr>
        <w:ind w:left="720"/>
      </w:pPr>
      <w:r>
        <w:t>AND</w:t>
      </w:r>
    </w:p>
    <w:p w14:paraId="1051088B" w14:textId="6DEC21D9" w:rsidR="009103CC" w:rsidRDefault="009103CC" w:rsidP="00341308">
      <w:pPr>
        <w:ind w:left="720"/>
        <w:rPr>
          <w:rFonts w:eastAsia="Times New Roman" w:cs="Times New Roman"/>
          <w:bCs/>
        </w:rPr>
      </w:pPr>
      <w:r>
        <w:t>With site of infection classified as a SSTI (skin and soft tissue infection).</w:t>
      </w:r>
      <w:r w:rsidRPr="00B26DC4">
        <w:rPr>
          <w:vertAlign w:val="superscript"/>
        </w:rPr>
        <w:t>3</w:t>
      </w:r>
      <w:r w:rsidR="00021708">
        <w:rPr>
          <w:rFonts w:eastAsia="Times New Roman" w:cs="Times New Roman"/>
          <w:bCs/>
        </w:rPr>
        <w:t xml:space="preserve"> </w:t>
      </w:r>
      <w:proofErr w:type="gramStart"/>
      <w:r>
        <w:rPr>
          <w:rFonts w:eastAsia="Times New Roman" w:cs="Times New Roman"/>
          <w:bCs/>
        </w:rPr>
        <w:t>In</w:t>
      </w:r>
      <w:proofErr w:type="gramEnd"/>
      <w:r>
        <w:rPr>
          <w:rFonts w:eastAsia="Times New Roman" w:cs="Times New Roman"/>
          <w:bCs/>
        </w:rPr>
        <w:t xml:space="preserve"> particular, this focus on a particular infection syndrome/site is more likely associated with a host genetic risk factor.  </w:t>
      </w:r>
    </w:p>
    <w:p w14:paraId="78EFADA0" w14:textId="2DB34577" w:rsidR="009103CC" w:rsidRPr="000968CE" w:rsidRDefault="00B67978">
      <w:pPr>
        <w:rPr>
          <w:b/>
        </w:rPr>
      </w:pPr>
      <w:r w:rsidRPr="000968CE">
        <w:rPr>
          <w:b/>
        </w:rPr>
        <w:t>OR</w:t>
      </w:r>
    </w:p>
    <w:p w14:paraId="3387EEB5" w14:textId="77777777" w:rsidR="00021708" w:rsidRPr="000968CE" w:rsidRDefault="00B67978">
      <w:pPr>
        <w:rPr>
          <w:b/>
        </w:rPr>
      </w:pPr>
      <w:r w:rsidRPr="000968CE">
        <w:rPr>
          <w:b/>
        </w:rPr>
        <w:t>2b: Silver standard MRSA definition:</w:t>
      </w:r>
      <w:r w:rsidR="00021708" w:rsidRPr="000968CE">
        <w:rPr>
          <w:b/>
        </w:rPr>
        <w:t xml:space="preserve"> </w:t>
      </w:r>
    </w:p>
    <w:p w14:paraId="4A001C70" w14:textId="0242B156" w:rsidR="001316E5" w:rsidRPr="000968CE" w:rsidRDefault="001316E5" w:rsidP="00341308">
      <w:pPr>
        <w:ind w:left="720"/>
      </w:pPr>
      <w:r w:rsidRPr="000968CE">
        <w:t>Diagnos</w:t>
      </w:r>
      <w:r w:rsidR="00021708" w:rsidRPr="000968CE">
        <w:t>i</w:t>
      </w:r>
      <w:r w:rsidRPr="000968CE">
        <w:t xml:space="preserve">s </w:t>
      </w:r>
      <w:r w:rsidR="00B67978" w:rsidRPr="000968CE">
        <w:t>of</w:t>
      </w:r>
      <w:r w:rsidRPr="000968CE">
        <w:t xml:space="preserve"> MRSA</w:t>
      </w:r>
      <w:r w:rsidR="00B67978" w:rsidRPr="000968CE">
        <w:t xml:space="preserve"> (see ICD-9 codes below)</w:t>
      </w:r>
    </w:p>
    <w:tbl>
      <w:tblPr>
        <w:tblStyle w:val="TableGrid"/>
        <w:tblW w:w="0" w:type="auto"/>
        <w:tblInd w:w="720" w:type="dxa"/>
        <w:tblLook w:val="04A0" w:firstRow="1" w:lastRow="0" w:firstColumn="1" w:lastColumn="0" w:noHBand="0" w:noVBand="1"/>
      </w:tblPr>
      <w:tblGrid>
        <w:gridCol w:w="1002"/>
        <w:gridCol w:w="3665"/>
        <w:gridCol w:w="3226"/>
      </w:tblGrid>
      <w:tr w:rsidR="00EA4DFC" w:rsidRPr="000968CE" w14:paraId="4588D48B" w14:textId="77777777" w:rsidTr="00341308">
        <w:tc>
          <w:tcPr>
            <w:tcW w:w="1002" w:type="dxa"/>
          </w:tcPr>
          <w:p w14:paraId="014FDF17" w14:textId="77777777" w:rsidR="00EA4DFC" w:rsidRPr="000968CE" w:rsidRDefault="00EA4DFC">
            <w:r w:rsidRPr="000968CE">
              <w:t>icd9_cd</w:t>
            </w:r>
          </w:p>
        </w:tc>
        <w:tc>
          <w:tcPr>
            <w:tcW w:w="3665" w:type="dxa"/>
          </w:tcPr>
          <w:p w14:paraId="702E2622" w14:textId="77777777" w:rsidR="00EA4DFC" w:rsidRPr="000968CE" w:rsidRDefault="00EA4DFC">
            <w:proofErr w:type="spellStart"/>
            <w:r w:rsidRPr="000968CE">
              <w:t>dx_dsc</w:t>
            </w:r>
            <w:proofErr w:type="spellEnd"/>
          </w:p>
        </w:tc>
        <w:tc>
          <w:tcPr>
            <w:tcW w:w="3226" w:type="dxa"/>
          </w:tcPr>
          <w:p w14:paraId="3579C9B5" w14:textId="77777777" w:rsidR="00EA4DFC" w:rsidRPr="000968CE" w:rsidRDefault="00EA4DFC">
            <w:proofErr w:type="spellStart"/>
            <w:r w:rsidRPr="000968CE">
              <w:t>base_dx_dsc</w:t>
            </w:r>
            <w:proofErr w:type="spellEnd"/>
          </w:p>
        </w:tc>
      </w:tr>
      <w:tr w:rsidR="00EA4DFC" w:rsidRPr="000968CE" w14:paraId="630FD0B3" w14:textId="77777777" w:rsidTr="00341308">
        <w:tc>
          <w:tcPr>
            <w:tcW w:w="1002" w:type="dxa"/>
          </w:tcPr>
          <w:p w14:paraId="475301B9" w14:textId="77777777" w:rsidR="00EA4DFC" w:rsidRPr="000968CE" w:rsidRDefault="00EA4DFC">
            <w:r w:rsidRPr="000968CE">
              <w:t>038.12</w:t>
            </w:r>
          </w:p>
        </w:tc>
        <w:tc>
          <w:tcPr>
            <w:tcW w:w="3665" w:type="dxa"/>
          </w:tcPr>
          <w:p w14:paraId="5675F1D8" w14:textId="77777777" w:rsidR="00EA4DFC" w:rsidRPr="000968CE" w:rsidRDefault="00EA4DFC">
            <w:r w:rsidRPr="000968CE">
              <w:t>Methicillin resistant staphylococcus aureus septicemia</w:t>
            </w:r>
          </w:p>
        </w:tc>
        <w:tc>
          <w:tcPr>
            <w:tcW w:w="3226" w:type="dxa"/>
          </w:tcPr>
          <w:p w14:paraId="05CBCAEE" w14:textId="77777777" w:rsidR="00EA4DFC" w:rsidRPr="000968CE" w:rsidRDefault="00EA4DFC">
            <w:r w:rsidRPr="000968CE">
              <w:t>Septicemia</w:t>
            </w:r>
          </w:p>
        </w:tc>
      </w:tr>
      <w:tr w:rsidR="00EA4DFC" w:rsidRPr="000968CE" w14:paraId="5EBD2BC9" w14:textId="77777777" w:rsidTr="00341308">
        <w:tc>
          <w:tcPr>
            <w:tcW w:w="1002" w:type="dxa"/>
          </w:tcPr>
          <w:p w14:paraId="5865EEA5" w14:textId="77777777" w:rsidR="00EA4DFC" w:rsidRPr="000968CE" w:rsidRDefault="00EA4DFC">
            <w:r w:rsidRPr="000968CE">
              <w:t>041.12</w:t>
            </w:r>
          </w:p>
        </w:tc>
        <w:tc>
          <w:tcPr>
            <w:tcW w:w="3665" w:type="dxa"/>
          </w:tcPr>
          <w:p w14:paraId="59812713" w14:textId="77777777" w:rsidR="00EA4DFC" w:rsidRPr="000968CE" w:rsidRDefault="00EA4DFC">
            <w:r w:rsidRPr="000968CE">
              <w:t>Methicillin resistant Staphylococcus aureus in conditions classified elsewhere and of unspecified site</w:t>
            </w:r>
          </w:p>
        </w:tc>
        <w:tc>
          <w:tcPr>
            <w:tcW w:w="3226" w:type="dxa"/>
          </w:tcPr>
          <w:p w14:paraId="4AC4FCC3" w14:textId="77777777" w:rsidR="00EA4DFC" w:rsidRPr="000968CE" w:rsidRDefault="00EA4DFC">
            <w:r w:rsidRPr="000968CE">
              <w:t>Bacterial infection in conditions classified elsewhere and of unspecified site</w:t>
            </w:r>
          </w:p>
        </w:tc>
      </w:tr>
      <w:tr w:rsidR="00EA4DFC" w:rsidRPr="000968CE" w14:paraId="049C275F" w14:textId="77777777" w:rsidTr="00341308">
        <w:tc>
          <w:tcPr>
            <w:tcW w:w="1002" w:type="dxa"/>
          </w:tcPr>
          <w:p w14:paraId="6F64D963" w14:textId="77777777" w:rsidR="00EA4DFC" w:rsidRPr="000968CE" w:rsidRDefault="00EA4DFC">
            <w:r w:rsidRPr="000968CE">
              <w:t>482.42</w:t>
            </w:r>
          </w:p>
        </w:tc>
        <w:tc>
          <w:tcPr>
            <w:tcW w:w="3665" w:type="dxa"/>
          </w:tcPr>
          <w:p w14:paraId="0AF4A3C1" w14:textId="77777777" w:rsidR="00EA4DFC" w:rsidRPr="000968CE" w:rsidRDefault="00EA4DFC">
            <w:r w:rsidRPr="000968CE">
              <w:t>Methicillin resistant pneumonia due to Staphylococcus aureus</w:t>
            </w:r>
          </w:p>
        </w:tc>
        <w:tc>
          <w:tcPr>
            <w:tcW w:w="3226" w:type="dxa"/>
          </w:tcPr>
          <w:p w14:paraId="663ACF18" w14:textId="77777777" w:rsidR="00EA4DFC" w:rsidRPr="000968CE" w:rsidRDefault="00EA4DFC">
            <w:r w:rsidRPr="000968CE">
              <w:t>Other bacterial pneumonia</w:t>
            </w:r>
          </w:p>
        </w:tc>
      </w:tr>
    </w:tbl>
    <w:p w14:paraId="759F1058" w14:textId="77777777" w:rsidR="001316E5" w:rsidRPr="000968CE" w:rsidRDefault="001316E5" w:rsidP="00341308">
      <w:pPr>
        <w:ind w:left="720"/>
      </w:pPr>
    </w:p>
    <w:p w14:paraId="08955DF4" w14:textId="341A7142" w:rsidR="00B67978" w:rsidRPr="000968CE" w:rsidRDefault="00B67978" w:rsidP="00341308">
      <w:pPr>
        <w:ind w:left="720"/>
      </w:pPr>
      <w:r w:rsidRPr="000968CE">
        <w:t xml:space="preserve">AND </w:t>
      </w:r>
    </w:p>
    <w:p w14:paraId="65421B33" w14:textId="06EA806A" w:rsidR="00B67978" w:rsidRPr="000968CE" w:rsidRDefault="00B67978" w:rsidP="00341308">
      <w:pPr>
        <w:ind w:left="720"/>
      </w:pPr>
      <w:r w:rsidRPr="000968CE">
        <w:t>SSTI diagnosis within +/- 7 days of that diagnosis</w:t>
      </w:r>
    </w:p>
    <w:p w14:paraId="3C262F2A" w14:textId="77777777" w:rsidR="009B003C" w:rsidRPr="000968CE" w:rsidRDefault="009B003C">
      <w:pPr>
        <w:rPr>
          <w:rFonts w:eastAsia="Times New Roman" w:cs="Times New Roman"/>
          <w:bCs/>
        </w:rPr>
      </w:pPr>
      <w:r w:rsidRPr="000968CE">
        <w:rPr>
          <w:rFonts w:eastAsia="Times New Roman" w:cs="Times New Roman"/>
          <w:bCs/>
        </w:rPr>
        <w:br w:type="page"/>
      </w:r>
    </w:p>
    <w:p w14:paraId="684BA6EC" w14:textId="77777777" w:rsidR="006B4385" w:rsidRPr="006B4385" w:rsidRDefault="006B4385" w:rsidP="006B4385">
      <w:pPr>
        <w:rPr>
          <w:rFonts w:eastAsia="Times New Roman" w:cs="Times New Roman"/>
          <w:b/>
          <w:bCs/>
          <w:u w:val="single"/>
        </w:rPr>
      </w:pPr>
      <w:r w:rsidRPr="000968CE">
        <w:rPr>
          <w:rFonts w:eastAsia="Times New Roman" w:cs="Times New Roman"/>
          <w:b/>
          <w:bCs/>
          <w:u w:val="single"/>
        </w:rPr>
        <w:lastRenderedPageBreak/>
        <w:t>3: Case Exclusions:</w:t>
      </w:r>
    </w:p>
    <w:p w14:paraId="394F9DC7" w14:textId="77777777" w:rsidR="006B4385" w:rsidRDefault="006B4385" w:rsidP="006B4385">
      <w:pPr>
        <w:rPr>
          <w:rFonts w:eastAsia="Times New Roman" w:cs="Times New Roman"/>
          <w:bCs/>
        </w:rPr>
      </w:pPr>
      <w:r>
        <w:rPr>
          <w:rFonts w:eastAsia="Times New Roman" w:cs="Times New Roman"/>
          <w:bCs/>
        </w:rPr>
        <w:t>AND</w:t>
      </w:r>
    </w:p>
    <w:p w14:paraId="3E64A04D" w14:textId="77777777" w:rsidR="006B4385" w:rsidRDefault="006B4385" w:rsidP="006B4385">
      <w:pPr>
        <w:rPr>
          <w:rFonts w:eastAsia="Times New Roman" w:cs="Times New Roman"/>
          <w:bCs/>
        </w:rPr>
      </w:pPr>
      <w:r>
        <w:rPr>
          <w:rFonts w:eastAsia="Times New Roman" w:cs="Times New Roman"/>
          <w:bCs/>
        </w:rPr>
        <w:t xml:space="preserve">No antecedent inpatient hospitalization in the prior 1 year before MRSA infection.  </w:t>
      </w:r>
    </w:p>
    <w:p w14:paraId="4712361C" w14:textId="3B912501" w:rsidR="00EA4DFC" w:rsidRDefault="00EA4DFC">
      <w:pPr>
        <w:rPr>
          <w:rFonts w:eastAsia="Times New Roman" w:cs="Times New Roman"/>
          <w:b/>
          <w:bCs/>
        </w:rPr>
      </w:pPr>
    </w:p>
    <w:p w14:paraId="7444B7DD" w14:textId="2E211AE9" w:rsidR="00500169" w:rsidRPr="007F628E" w:rsidRDefault="001876AD" w:rsidP="007F628E">
      <w:r>
        <w:rPr>
          <w:rFonts w:eastAsia="Times New Roman" w:cs="Times New Roman"/>
          <w:b/>
          <w:bCs/>
        </w:rPr>
        <w:t>Non-case</w:t>
      </w:r>
      <w:r w:rsidR="002B6279">
        <w:rPr>
          <w:rFonts w:eastAsia="Times New Roman" w:cs="Times New Roman"/>
          <w:b/>
          <w:bCs/>
        </w:rPr>
        <w:t xml:space="preserve"> (AKA control) </w:t>
      </w:r>
      <w:r w:rsidR="00500169" w:rsidRPr="00C27C3F">
        <w:rPr>
          <w:rFonts w:eastAsia="Times New Roman" w:cs="Times New Roman"/>
          <w:b/>
          <w:bCs/>
        </w:rPr>
        <w:t>definition:</w:t>
      </w:r>
    </w:p>
    <w:p w14:paraId="0B4E8569" w14:textId="77777777" w:rsidR="00500169" w:rsidRPr="00C27C3F" w:rsidRDefault="00500169" w:rsidP="00500169">
      <w:pPr>
        <w:spacing w:after="0" w:line="240" w:lineRule="auto"/>
        <w:rPr>
          <w:rFonts w:eastAsia="Times New Roman" w:cs="Times New Roman"/>
          <w:b/>
          <w:bCs/>
        </w:rPr>
      </w:pPr>
      <w:r w:rsidRPr="00C27C3F">
        <w:rPr>
          <w:rFonts w:eastAsia="Times New Roman" w:cs="Times New Roman"/>
          <w:b/>
          <w:bCs/>
        </w:rPr>
        <w:t>Inclusion Criteria</w:t>
      </w:r>
    </w:p>
    <w:p w14:paraId="5E60C4D1" w14:textId="77777777" w:rsidR="00500169" w:rsidRPr="00C27C3F" w:rsidRDefault="00500169" w:rsidP="00500169">
      <w:pPr>
        <w:spacing w:after="0" w:line="240" w:lineRule="auto"/>
        <w:rPr>
          <w:rFonts w:eastAsia="Times New Roman" w:cs="Times New Roman"/>
          <w:b/>
          <w:bCs/>
        </w:rPr>
      </w:pPr>
    </w:p>
    <w:p w14:paraId="416B5E31" w14:textId="77777777" w:rsidR="001876AD" w:rsidRDefault="001876AD" w:rsidP="001876AD">
      <w:r>
        <w:t>Patients</w:t>
      </w:r>
      <w:r w:rsidR="00D7212E">
        <w:t>, aged 0 to 89</w:t>
      </w:r>
      <w:r w:rsidR="000C60CC">
        <w:t xml:space="preserve">, </w:t>
      </w:r>
      <w:r>
        <w:t>who receive routine prima</w:t>
      </w:r>
      <w:r w:rsidR="000C60CC">
        <w:t xml:space="preserve">ry care within your study site </w:t>
      </w:r>
      <w:r>
        <w:t>defined as &gt;</w:t>
      </w:r>
      <w:r w:rsidR="000C60CC">
        <w:t>=</w:t>
      </w:r>
      <w:r>
        <w:t xml:space="preserve"> 2 visits with a primary care provider</w:t>
      </w:r>
      <w:r w:rsidR="000C60CC">
        <w:t xml:space="preserve"> over a</w:t>
      </w:r>
      <w:r w:rsidR="008B35C8">
        <w:t xml:space="preserve"> minimum of a</w:t>
      </w:r>
      <w:r w:rsidR="000C60CC">
        <w:t xml:space="preserve"> 3 year </w:t>
      </w:r>
      <w:r w:rsidR="00360268">
        <w:t>continuous period of enrollment</w:t>
      </w:r>
      <w:r w:rsidR="00360268" w:rsidRPr="00360268">
        <w:rPr>
          <w:vertAlign w:val="superscript"/>
        </w:rPr>
        <w:t>1</w:t>
      </w:r>
      <w:r>
        <w:t>.</w:t>
      </w:r>
    </w:p>
    <w:p w14:paraId="4F095697" w14:textId="77777777" w:rsidR="00EA0E7D" w:rsidRDefault="00EA0E7D" w:rsidP="001876AD">
      <w:r>
        <w:t>AND</w:t>
      </w:r>
    </w:p>
    <w:p w14:paraId="344BC210" w14:textId="77777777" w:rsidR="001A0A3D" w:rsidRDefault="001A0A3D" w:rsidP="001A0A3D">
      <w:r>
        <w:t>No prior h/o of positive MRSA screen</w:t>
      </w:r>
      <w:r w:rsidRPr="00ED793C">
        <w:rPr>
          <w:vertAlign w:val="superscript"/>
        </w:rPr>
        <w:t>2</w:t>
      </w:r>
    </w:p>
    <w:p w14:paraId="5960A62B" w14:textId="77777777" w:rsidR="00EA0E7D" w:rsidRDefault="00EA0E7D">
      <w:r>
        <w:t>AND</w:t>
      </w:r>
    </w:p>
    <w:p w14:paraId="6BD3AEF6" w14:textId="77777777" w:rsidR="00EA0E7D" w:rsidRDefault="00EA0E7D">
      <w:r w:rsidRPr="00543E2E">
        <w:t>No prior h/o SSTI</w:t>
      </w:r>
      <w:r w:rsidR="00543E2E" w:rsidRPr="00543E2E">
        <w:rPr>
          <w:vertAlign w:val="superscript"/>
        </w:rPr>
        <w:t>3</w:t>
      </w:r>
    </w:p>
    <w:p w14:paraId="32EC106C" w14:textId="77777777" w:rsidR="00EA0E7D" w:rsidRDefault="00EA0E7D">
      <w:r>
        <w:t xml:space="preserve">AND </w:t>
      </w:r>
    </w:p>
    <w:p w14:paraId="253EDF38" w14:textId="77777777" w:rsidR="001A0A3D" w:rsidRPr="00360268" w:rsidRDefault="001A0A3D" w:rsidP="001A0A3D">
      <w:pPr>
        <w:rPr>
          <w:lang w:val="es-MX"/>
        </w:rPr>
      </w:pPr>
      <w:r w:rsidRPr="00360268">
        <w:rPr>
          <w:lang w:val="es-MX"/>
        </w:rPr>
        <w:t>No prior h/o MRSA infection</w:t>
      </w:r>
      <w:r w:rsidRPr="00360268">
        <w:rPr>
          <w:vertAlign w:val="superscript"/>
          <w:lang w:val="es-MX"/>
        </w:rPr>
        <w:t>4</w:t>
      </w:r>
    </w:p>
    <w:p w14:paraId="780634F7" w14:textId="77777777" w:rsidR="001876AD" w:rsidRPr="001A0A3D" w:rsidRDefault="001876AD">
      <w:pPr>
        <w:rPr>
          <w:lang w:val="es-MX"/>
        </w:rPr>
      </w:pPr>
    </w:p>
    <w:p w14:paraId="212AEED4" w14:textId="77777777" w:rsidR="00523A07" w:rsidRPr="001A0A3D" w:rsidRDefault="00523A07">
      <w:pPr>
        <w:rPr>
          <w:b/>
          <w:lang w:val="es-MX"/>
        </w:rPr>
      </w:pPr>
      <w:r w:rsidRPr="001A0A3D">
        <w:rPr>
          <w:b/>
          <w:lang w:val="es-MX"/>
        </w:rPr>
        <w:br w:type="page"/>
      </w:r>
    </w:p>
    <w:p w14:paraId="071901AD" w14:textId="77777777" w:rsidR="00484BAE" w:rsidRDefault="0050754D" w:rsidP="00484BAE">
      <w:pPr>
        <w:rPr>
          <w:b/>
        </w:rPr>
      </w:pPr>
      <w:r>
        <w:rPr>
          <w:b/>
        </w:rPr>
        <w:lastRenderedPageBreak/>
        <w:t xml:space="preserve">Appendix of </w:t>
      </w:r>
      <w:r w:rsidR="00D50843">
        <w:rPr>
          <w:b/>
        </w:rPr>
        <w:t>Definitions</w:t>
      </w:r>
    </w:p>
    <w:p w14:paraId="65620856" w14:textId="77777777" w:rsidR="00B43F52" w:rsidRDefault="00655EAB" w:rsidP="00484BAE">
      <w:pPr>
        <w:pStyle w:val="ListParagraph"/>
        <w:numPr>
          <w:ilvl w:val="0"/>
          <w:numId w:val="6"/>
        </w:numPr>
      </w:pPr>
      <w:r w:rsidRPr="008C578E">
        <w:rPr>
          <w:u w:val="single"/>
        </w:rPr>
        <w:t>Continuous enrollment</w:t>
      </w:r>
      <w:r>
        <w:t xml:space="preserve">:  </w:t>
      </w:r>
    </w:p>
    <w:p w14:paraId="7CE6B7CF" w14:textId="77777777" w:rsidR="008C578E" w:rsidRDefault="008C578E" w:rsidP="008C578E">
      <w:pPr>
        <w:ind w:left="360"/>
      </w:pPr>
      <w:r>
        <w:t xml:space="preserve">Implementations of “continuous enrollment” may vary by institution.  We are using the same definition as was used for other phenotypes starting with Group Health’s Zoster phenotype where the following was stated:  </w:t>
      </w:r>
    </w:p>
    <w:p w14:paraId="3A2687F8" w14:textId="77777777" w:rsidR="008C578E" w:rsidRDefault="008C578E" w:rsidP="008C578E">
      <w:pPr>
        <w:ind w:left="360"/>
      </w:pPr>
      <w:r>
        <w:t>Continuous enrollment is defined at Group Health as a period of enrollment in a Group Health-administered insurance or integrated health care plan for at least 5 years, allowing interruptions or gaps in coverage of up to three months.  Gaps of this size are allowed because they typically represent administrative data inconsistencies rather than actual interruptions in access to care.</w:t>
      </w:r>
    </w:p>
    <w:p w14:paraId="733B1406" w14:textId="77777777" w:rsidR="008C578E" w:rsidRDefault="008C578E" w:rsidP="008C578E">
      <w:pPr>
        <w:ind w:left="360"/>
      </w:pPr>
      <w:r>
        <w:t>Sites may implement continuous enrollment in whatever manner they deem to be consistent with continuous enrollment, including use of more granular rules.  For example, Mayo Clinic’s continuous enrollment rules incorporate patient age and gender into the calculation.  This is sensible because younger men receiving regular care at Mayo Clinic tend to have fewer encounters than women of the same age or older men.</w:t>
      </w:r>
    </w:p>
    <w:p w14:paraId="3C7C2FB4" w14:textId="77777777" w:rsidR="008C578E" w:rsidRDefault="008C578E" w:rsidP="008C578E">
      <w:pPr>
        <w:pStyle w:val="ListParagraph"/>
        <w:ind w:left="360"/>
      </w:pPr>
    </w:p>
    <w:p w14:paraId="033EDA3F" w14:textId="77777777" w:rsidR="00370DD2" w:rsidRDefault="00ED2047" w:rsidP="00484BAE">
      <w:pPr>
        <w:pStyle w:val="ListParagraph"/>
        <w:numPr>
          <w:ilvl w:val="0"/>
          <w:numId w:val="6"/>
        </w:numPr>
      </w:pPr>
      <w:r w:rsidRPr="00CA77D5">
        <w:rPr>
          <w:u w:val="single"/>
        </w:rPr>
        <w:t xml:space="preserve">Bacterial </w:t>
      </w:r>
      <w:r w:rsidR="00370DD2" w:rsidRPr="00CA77D5">
        <w:rPr>
          <w:u w:val="single"/>
        </w:rPr>
        <w:t>culture results</w:t>
      </w:r>
      <w:r w:rsidR="009E3A17">
        <w:rPr>
          <w:u w:val="single"/>
        </w:rPr>
        <w:t xml:space="preserve"> for MRSA</w:t>
      </w:r>
      <w:r w:rsidR="00BF0F62">
        <w:rPr>
          <w:u w:val="single"/>
        </w:rPr>
        <w:t xml:space="preserve"> screen</w:t>
      </w:r>
      <w:r w:rsidR="00370DD2">
        <w:t>:</w:t>
      </w:r>
    </w:p>
    <w:p w14:paraId="1D474BCD" w14:textId="77777777" w:rsidR="00ED2047" w:rsidRDefault="004B39DD" w:rsidP="003A43C2">
      <w:pPr>
        <w:pStyle w:val="ListParagraph"/>
        <w:numPr>
          <w:ilvl w:val="1"/>
          <w:numId w:val="6"/>
        </w:numPr>
      </w:pPr>
      <w:r>
        <w:t>Find t</w:t>
      </w:r>
      <w:r w:rsidR="008A386B">
        <w:t>he following</w:t>
      </w:r>
      <w:r>
        <w:t xml:space="preserve"> or similar</w:t>
      </w:r>
      <w:r w:rsidR="008A386B">
        <w:t xml:space="preserve"> </w:t>
      </w:r>
      <w:r>
        <w:t>k</w:t>
      </w:r>
      <w:r w:rsidR="00ED2047">
        <w:t>eywords</w:t>
      </w:r>
      <w:r>
        <w:t xml:space="preserve"> in the text results of a bacterial culture lab</w:t>
      </w:r>
      <w:r w:rsidR="003A1A8F">
        <w:t xml:space="preserve"> test</w:t>
      </w:r>
      <w:r w:rsidR="0059201F">
        <w:t xml:space="preserve"> (methicillin</w:t>
      </w:r>
      <w:r w:rsidR="00C3126A">
        <w:t xml:space="preserve"> OR</w:t>
      </w:r>
      <w:r w:rsidR="0059201F">
        <w:t xml:space="preserve"> </w:t>
      </w:r>
      <w:proofErr w:type="spellStart"/>
      <w:r w:rsidR="003A43C2" w:rsidRPr="003A43C2">
        <w:t>oxacillin</w:t>
      </w:r>
      <w:proofErr w:type="spellEnd"/>
      <w:r w:rsidR="003A43C2" w:rsidRPr="003A43C2">
        <w:t xml:space="preserve"> </w:t>
      </w:r>
      <w:r w:rsidR="008B3979">
        <w:t xml:space="preserve">are the </w:t>
      </w:r>
      <w:r w:rsidR="003A43C2">
        <w:t xml:space="preserve">only </w:t>
      </w:r>
      <w:r w:rsidR="008B3979">
        <w:t>2 antibiotics for which to search)</w:t>
      </w:r>
      <w:r w:rsidR="00ED2047">
        <w:t>:</w:t>
      </w:r>
    </w:p>
    <w:p w14:paraId="5333B1B2" w14:textId="77777777" w:rsidR="00216AE8" w:rsidRPr="00021708" w:rsidRDefault="00ED2047" w:rsidP="006B2479">
      <w:pPr>
        <w:pStyle w:val="ListParagraph"/>
        <w:numPr>
          <w:ilvl w:val="2"/>
          <w:numId w:val="6"/>
        </w:numPr>
        <w:rPr>
          <w:strike/>
        </w:rPr>
      </w:pPr>
      <w:r w:rsidRPr="00C3126A">
        <w:t>MRSA</w:t>
      </w:r>
      <w:r w:rsidR="00C3126A">
        <w:t>:</w:t>
      </w:r>
      <w:r w:rsidR="0059201F" w:rsidRPr="00021708">
        <w:t xml:space="preserve"> this was only screenings at NU</w:t>
      </w:r>
      <w:r w:rsidR="00C3126A">
        <w:t xml:space="preserve"> so was not used at NU</w:t>
      </w:r>
      <w:r w:rsidR="0059201F" w:rsidRPr="00021708">
        <w:t>, but at other sites may be different</w:t>
      </w:r>
    </w:p>
    <w:p w14:paraId="0134C951" w14:textId="77777777" w:rsidR="006B2479" w:rsidRDefault="00216AE8" w:rsidP="006B2479">
      <w:pPr>
        <w:pStyle w:val="ListParagraph"/>
        <w:numPr>
          <w:ilvl w:val="2"/>
          <w:numId w:val="6"/>
        </w:numPr>
      </w:pPr>
      <w:r>
        <w:t xml:space="preserve">Methicillin-resistant </w:t>
      </w:r>
      <w:r w:rsidRPr="00216AE8">
        <w:rPr>
          <w:i/>
        </w:rPr>
        <w:t>Staphylococcus aureus</w:t>
      </w:r>
    </w:p>
    <w:p w14:paraId="611BDF1F" w14:textId="77777777" w:rsidR="00ED2047" w:rsidRPr="006B2479" w:rsidRDefault="00C46E2F" w:rsidP="006B2479">
      <w:pPr>
        <w:pStyle w:val="ListParagraph"/>
        <w:numPr>
          <w:ilvl w:val="2"/>
          <w:numId w:val="6"/>
        </w:numPr>
      </w:pPr>
      <w:r w:rsidRPr="006B2479">
        <w:t>'"STAPHYLOCOCCUS</w:t>
      </w:r>
      <w:r w:rsidRPr="00C46E2F">
        <w:t xml:space="preserve"> AUREUS" AND "OXACILLIN RESISTANT"'</w:t>
      </w:r>
    </w:p>
    <w:p w14:paraId="054B9909" w14:textId="77777777" w:rsidR="008A386B" w:rsidRDefault="008A386B" w:rsidP="008A386B">
      <w:pPr>
        <w:ind w:left="720"/>
      </w:pPr>
      <w:r>
        <w:t>AND</w:t>
      </w:r>
    </w:p>
    <w:p w14:paraId="403A9502" w14:textId="77777777" w:rsidR="00370DD2" w:rsidRDefault="00370DD2" w:rsidP="00265207">
      <w:pPr>
        <w:pStyle w:val="ListParagraph"/>
        <w:numPr>
          <w:ilvl w:val="1"/>
          <w:numId w:val="6"/>
        </w:numPr>
      </w:pPr>
      <w:r>
        <w:t>“present” or “positive”</w:t>
      </w:r>
      <w:r w:rsidR="00265207">
        <w:t xml:space="preserve"> or other </w:t>
      </w:r>
      <w:r w:rsidR="00265207" w:rsidRPr="00265207">
        <w:t xml:space="preserve">affirmative mention (unqualified by negation, uncertainty, or historical reference) </w:t>
      </w:r>
      <w:r>
        <w:t>for cases</w:t>
      </w:r>
    </w:p>
    <w:p w14:paraId="2273440C" w14:textId="77777777" w:rsidR="00370DD2" w:rsidRDefault="00370DD2" w:rsidP="00370DD2">
      <w:pPr>
        <w:pStyle w:val="ListParagraph"/>
        <w:numPr>
          <w:ilvl w:val="1"/>
          <w:numId w:val="6"/>
        </w:numPr>
      </w:pPr>
      <w:r>
        <w:t>“absent” or “negative</w:t>
      </w:r>
      <w:r w:rsidR="00A26CC3">
        <w:t>”</w:t>
      </w:r>
      <w:r>
        <w:t xml:space="preserve"> </w:t>
      </w:r>
      <w:r w:rsidR="00BF4EA3">
        <w:t>or other negative</w:t>
      </w:r>
      <w:r w:rsidR="00BF4EA3" w:rsidRPr="00265207">
        <w:t xml:space="preserve"> mention </w:t>
      </w:r>
      <w:r>
        <w:t>for controls</w:t>
      </w:r>
    </w:p>
    <w:p w14:paraId="3B063D6D" w14:textId="77777777" w:rsidR="00F10A5C" w:rsidRDefault="00F10A5C" w:rsidP="000D02F3">
      <w:pPr>
        <w:pStyle w:val="ListParagraph"/>
        <w:ind w:left="1080"/>
      </w:pPr>
    </w:p>
    <w:p w14:paraId="796F59DB" w14:textId="77777777" w:rsidR="005F522A" w:rsidRDefault="005F522A">
      <w:pPr>
        <w:rPr>
          <w:u w:val="single"/>
        </w:rPr>
      </w:pPr>
      <w:r>
        <w:rPr>
          <w:u w:val="single"/>
        </w:rPr>
        <w:br w:type="page"/>
      </w:r>
    </w:p>
    <w:p w14:paraId="3FD72FE7" w14:textId="77777777" w:rsidR="00370DD2" w:rsidRDefault="00370DD2" w:rsidP="00484BAE">
      <w:pPr>
        <w:pStyle w:val="ListParagraph"/>
        <w:numPr>
          <w:ilvl w:val="0"/>
          <w:numId w:val="6"/>
        </w:numPr>
      </w:pPr>
      <w:r w:rsidRPr="00221801">
        <w:rPr>
          <w:u w:val="single"/>
        </w:rPr>
        <w:lastRenderedPageBreak/>
        <w:t>SSTI</w:t>
      </w:r>
      <w:r>
        <w:t xml:space="preserve">: </w:t>
      </w:r>
    </w:p>
    <w:p w14:paraId="3D5588CF" w14:textId="77777777" w:rsidR="00BB7717" w:rsidRDefault="00FB3D05" w:rsidP="00F57D18">
      <w:pPr>
        <w:pStyle w:val="ListParagraph"/>
        <w:numPr>
          <w:ilvl w:val="1"/>
          <w:numId w:val="6"/>
        </w:numPr>
      </w:pPr>
      <w:r>
        <w:rPr>
          <w:u w:val="single"/>
        </w:rPr>
        <w:t>For cases</w:t>
      </w:r>
      <w:r>
        <w:t xml:space="preserve">:  </w:t>
      </w:r>
    </w:p>
    <w:p w14:paraId="4306F809" w14:textId="17D2A565" w:rsidR="00593A33" w:rsidRPr="00F4017A" w:rsidRDefault="00672565" w:rsidP="00021708">
      <w:pPr>
        <w:pStyle w:val="ListParagraph"/>
        <w:numPr>
          <w:ilvl w:val="2"/>
          <w:numId w:val="6"/>
        </w:numPr>
        <w:rPr>
          <w:rFonts w:eastAsia="Times New Roman" w:cs="Times New Roman"/>
          <w:bCs/>
        </w:rPr>
      </w:pPr>
      <w:r>
        <w:t>Must have</w:t>
      </w:r>
      <w:r w:rsidR="00F57D18">
        <w:t xml:space="preserve"> the following or similar keywords in the text results of a bacterial culture lab test</w:t>
      </w:r>
      <w:r w:rsidR="00F4017A">
        <w:rPr>
          <w:rFonts w:eastAsia="Times New Roman" w:cs="Times New Roman"/>
          <w:bCs/>
        </w:rPr>
        <w:t>, such as s</w:t>
      </w:r>
      <w:r w:rsidR="003A2A82" w:rsidRPr="00F4017A">
        <w:rPr>
          <w:rFonts w:eastAsia="Times New Roman" w:cs="Times New Roman"/>
          <w:bCs/>
        </w:rPr>
        <w:t>kin, wound, boil, abscess, but also recognizing that anatomic sites (e.g. foot/hand/leg/buttock, etc</w:t>
      </w:r>
      <w:r w:rsidR="00F4017A">
        <w:rPr>
          <w:rFonts w:eastAsia="Times New Roman" w:cs="Times New Roman"/>
          <w:bCs/>
        </w:rPr>
        <w:t>.</w:t>
      </w:r>
      <w:r w:rsidR="003A2A82" w:rsidRPr="00F4017A">
        <w:rPr>
          <w:rFonts w:eastAsia="Times New Roman" w:cs="Times New Roman"/>
          <w:bCs/>
        </w:rPr>
        <w:t>) are also typically classified as an</w:t>
      </w:r>
      <w:r w:rsidR="00BE52D9" w:rsidRPr="00F4017A">
        <w:rPr>
          <w:rFonts w:eastAsia="Times New Roman" w:cs="Times New Roman"/>
          <w:bCs/>
        </w:rPr>
        <w:t xml:space="preserve"> SSTI. </w:t>
      </w:r>
      <w:r w:rsidR="003A2A82" w:rsidRPr="00F4017A">
        <w:rPr>
          <w:rFonts w:eastAsia="Times New Roman" w:cs="Times New Roman"/>
          <w:bCs/>
        </w:rPr>
        <w:t xml:space="preserve"> </w:t>
      </w:r>
      <w:r w:rsidR="00F4017A">
        <w:rPr>
          <w:rFonts w:eastAsia="Times New Roman" w:cs="Times New Roman"/>
          <w:bCs/>
        </w:rPr>
        <w:t>Thus, k</w:t>
      </w:r>
      <w:r w:rsidR="00B656BF" w:rsidRPr="00F4017A">
        <w:rPr>
          <w:rFonts w:eastAsia="Times New Roman" w:cs="Times New Roman"/>
          <w:bCs/>
        </w:rPr>
        <w:t>eywords we used are:</w:t>
      </w:r>
    </w:p>
    <w:p w14:paraId="7D665C1D" w14:textId="77777777" w:rsidR="00B656BF" w:rsidRDefault="00B656BF" w:rsidP="00B656BF">
      <w:pPr>
        <w:pStyle w:val="PlainText"/>
        <w:numPr>
          <w:ilvl w:val="0"/>
          <w:numId w:val="8"/>
        </w:numPr>
      </w:pPr>
      <w:r>
        <w:t>SKIN</w:t>
      </w:r>
    </w:p>
    <w:p w14:paraId="5AE8C57C" w14:textId="77777777" w:rsidR="00B656BF" w:rsidRDefault="00B656BF" w:rsidP="00B656BF">
      <w:pPr>
        <w:pStyle w:val="PlainText"/>
        <w:numPr>
          <w:ilvl w:val="0"/>
          <w:numId w:val="8"/>
        </w:numPr>
      </w:pPr>
      <w:r>
        <w:t>WOUND</w:t>
      </w:r>
    </w:p>
    <w:p w14:paraId="2EED171D" w14:textId="77777777" w:rsidR="00B656BF" w:rsidRDefault="00B656BF" w:rsidP="00B656BF">
      <w:pPr>
        <w:pStyle w:val="PlainText"/>
        <w:numPr>
          <w:ilvl w:val="0"/>
          <w:numId w:val="8"/>
        </w:numPr>
      </w:pPr>
      <w:r>
        <w:t>BOIL</w:t>
      </w:r>
    </w:p>
    <w:p w14:paraId="589C910B" w14:textId="77777777" w:rsidR="00B656BF" w:rsidRDefault="00B656BF" w:rsidP="00B656BF">
      <w:pPr>
        <w:pStyle w:val="PlainText"/>
        <w:numPr>
          <w:ilvl w:val="0"/>
          <w:numId w:val="8"/>
        </w:numPr>
      </w:pPr>
      <w:r>
        <w:t>ABSCESS</w:t>
      </w:r>
    </w:p>
    <w:p w14:paraId="09754737" w14:textId="77777777" w:rsidR="00B656BF" w:rsidRDefault="00B656BF" w:rsidP="00B656BF">
      <w:pPr>
        <w:pStyle w:val="PlainText"/>
        <w:numPr>
          <w:ilvl w:val="0"/>
          <w:numId w:val="8"/>
        </w:numPr>
      </w:pPr>
      <w:r>
        <w:t>FOOT</w:t>
      </w:r>
    </w:p>
    <w:p w14:paraId="7339B1E3" w14:textId="77777777" w:rsidR="00B656BF" w:rsidRDefault="00B656BF" w:rsidP="00B656BF">
      <w:pPr>
        <w:pStyle w:val="PlainText"/>
        <w:numPr>
          <w:ilvl w:val="0"/>
          <w:numId w:val="8"/>
        </w:numPr>
      </w:pPr>
      <w:r>
        <w:t>HAND</w:t>
      </w:r>
    </w:p>
    <w:p w14:paraId="076A586A" w14:textId="77777777" w:rsidR="00B656BF" w:rsidRDefault="00B656BF" w:rsidP="00B656BF">
      <w:pPr>
        <w:pStyle w:val="PlainText"/>
        <w:numPr>
          <w:ilvl w:val="0"/>
          <w:numId w:val="8"/>
        </w:numPr>
      </w:pPr>
      <w:r>
        <w:t>LEG</w:t>
      </w:r>
    </w:p>
    <w:p w14:paraId="15CE933B" w14:textId="77777777" w:rsidR="00B656BF" w:rsidRDefault="00B656BF" w:rsidP="00B656BF">
      <w:pPr>
        <w:pStyle w:val="PlainText"/>
        <w:numPr>
          <w:ilvl w:val="0"/>
          <w:numId w:val="8"/>
        </w:numPr>
      </w:pPr>
      <w:r>
        <w:t>BUTTOCK</w:t>
      </w:r>
    </w:p>
    <w:p w14:paraId="30F3052B" w14:textId="77777777" w:rsidR="00B656BF" w:rsidRDefault="00B656BF" w:rsidP="00B656BF">
      <w:pPr>
        <w:pStyle w:val="PlainText"/>
        <w:numPr>
          <w:ilvl w:val="0"/>
          <w:numId w:val="8"/>
        </w:numPr>
      </w:pPr>
      <w:r>
        <w:t>BREAST</w:t>
      </w:r>
    </w:p>
    <w:p w14:paraId="761A0814" w14:textId="77777777" w:rsidR="00B656BF" w:rsidRDefault="00B656BF" w:rsidP="00B656BF">
      <w:pPr>
        <w:pStyle w:val="PlainText"/>
        <w:numPr>
          <w:ilvl w:val="0"/>
          <w:numId w:val="8"/>
        </w:numPr>
      </w:pPr>
      <w:r>
        <w:t>CARBUNCLE</w:t>
      </w:r>
    </w:p>
    <w:p w14:paraId="5FB4CFB7" w14:textId="77777777" w:rsidR="00B656BF" w:rsidRDefault="00B656BF" w:rsidP="00B656BF">
      <w:pPr>
        <w:pStyle w:val="PlainText"/>
        <w:numPr>
          <w:ilvl w:val="0"/>
          <w:numId w:val="8"/>
        </w:numPr>
      </w:pPr>
      <w:r>
        <w:t>FURUNCLE</w:t>
      </w:r>
    </w:p>
    <w:p w14:paraId="3691816A" w14:textId="77777777" w:rsidR="00B656BF" w:rsidRDefault="00B656BF" w:rsidP="00B656BF">
      <w:pPr>
        <w:pStyle w:val="PlainText"/>
        <w:numPr>
          <w:ilvl w:val="0"/>
          <w:numId w:val="8"/>
        </w:numPr>
      </w:pPr>
      <w:r>
        <w:t>FINGER</w:t>
      </w:r>
    </w:p>
    <w:p w14:paraId="071E827F" w14:textId="77777777" w:rsidR="00B656BF" w:rsidRDefault="00B656BF" w:rsidP="00B656BF">
      <w:pPr>
        <w:pStyle w:val="PlainText"/>
        <w:numPr>
          <w:ilvl w:val="0"/>
          <w:numId w:val="8"/>
        </w:numPr>
      </w:pPr>
      <w:r>
        <w:t>TOE</w:t>
      </w:r>
    </w:p>
    <w:p w14:paraId="38810473" w14:textId="77777777" w:rsidR="00B656BF" w:rsidRDefault="00B656BF" w:rsidP="00B656BF">
      <w:pPr>
        <w:pStyle w:val="PlainText"/>
        <w:numPr>
          <w:ilvl w:val="0"/>
          <w:numId w:val="8"/>
        </w:numPr>
      </w:pPr>
      <w:r>
        <w:t>CELLULITIS</w:t>
      </w:r>
    </w:p>
    <w:p w14:paraId="4894801A" w14:textId="77777777" w:rsidR="00B656BF" w:rsidRDefault="00B656BF" w:rsidP="00B656BF">
      <w:pPr>
        <w:pStyle w:val="PlainText"/>
        <w:numPr>
          <w:ilvl w:val="0"/>
          <w:numId w:val="8"/>
        </w:numPr>
      </w:pPr>
      <w:r>
        <w:t>IMPETIGO</w:t>
      </w:r>
    </w:p>
    <w:p w14:paraId="04033480" w14:textId="77777777" w:rsidR="00B656BF" w:rsidRDefault="00B656BF" w:rsidP="00B656BF">
      <w:pPr>
        <w:pStyle w:val="PlainText"/>
        <w:numPr>
          <w:ilvl w:val="0"/>
          <w:numId w:val="8"/>
        </w:numPr>
      </w:pPr>
      <w:r>
        <w:t>SUBCUTANEOUS</w:t>
      </w:r>
    </w:p>
    <w:p w14:paraId="0A01B7D1" w14:textId="77777777" w:rsidR="00B656BF" w:rsidRDefault="00B656BF" w:rsidP="00B656BF">
      <w:pPr>
        <w:pStyle w:val="PlainText"/>
        <w:numPr>
          <w:ilvl w:val="0"/>
          <w:numId w:val="8"/>
        </w:numPr>
      </w:pPr>
      <w:r>
        <w:t>HAIR</w:t>
      </w:r>
    </w:p>
    <w:p w14:paraId="7EF591EE" w14:textId="77777777" w:rsidR="00B656BF" w:rsidRDefault="00B656BF" w:rsidP="00B656BF">
      <w:pPr>
        <w:pStyle w:val="PlainText"/>
        <w:numPr>
          <w:ilvl w:val="0"/>
          <w:numId w:val="8"/>
        </w:numPr>
      </w:pPr>
      <w:r>
        <w:t>HYDRADENITIS</w:t>
      </w:r>
    </w:p>
    <w:p w14:paraId="2DEC62D4" w14:textId="77777777" w:rsidR="00B656BF" w:rsidRPr="00021708" w:rsidRDefault="00B656BF" w:rsidP="00B656BF">
      <w:pPr>
        <w:pStyle w:val="PlainText"/>
        <w:numPr>
          <w:ilvl w:val="0"/>
          <w:numId w:val="8"/>
        </w:numPr>
        <w:rPr>
          <w:strike/>
        </w:rPr>
      </w:pPr>
      <w:commentRangeStart w:id="0"/>
      <w:r w:rsidRPr="00021708">
        <w:rPr>
          <w:strike/>
        </w:rPr>
        <w:t>NOSE</w:t>
      </w:r>
    </w:p>
    <w:p w14:paraId="60983329" w14:textId="77777777" w:rsidR="00B656BF" w:rsidRPr="00021708" w:rsidRDefault="00B656BF" w:rsidP="00021708">
      <w:pPr>
        <w:pStyle w:val="PlainText"/>
        <w:numPr>
          <w:ilvl w:val="0"/>
          <w:numId w:val="8"/>
        </w:numPr>
        <w:rPr>
          <w:strike/>
        </w:rPr>
      </w:pPr>
      <w:r w:rsidRPr="00021708">
        <w:rPr>
          <w:strike/>
        </w:rPr>
        <w:t>NASAL</w:t>
      </w:r>
      <w:commentRangeEnd w:id="0"/>
      <w:r w:rsidR="00CF4C4D">
        <w:rPr>
          <w:rStyle w:val="CommentReference"/>
          <w:rFonts w:asciiTheme="minorHAnsi" w:eastAsiaTheme="minorHAnsi" w:hAnsiTheme="minorHAnsi" w:cstheme="minorBidi"/>
        </w:rPr>
        <w:commentReference w:id="0"/>
      </w:r>
    </w:p>
    <w:p w14:paraId="49EF850F" w14:textId="77777777" w:rsidR="00B656BF" w:rsidRPr="00B656BF" w:rsidRDefault="00B656BF" w:rsidP="00021708">
      <w:pPr>
        <w:pStyle w:val="PlainText"/>
        <w:ind w:left="2520"/>
      </w:pPr>
    </w:p>
    <w:p w14:paraId="04D07023" w14:textId="77777777" w:rsidR="00BB7717" w:rsidRDefault="00227ABD" w:rsidP="00D604DC">
      <w:pPr>
        <w:pStyle w:val="ListParagraph"/>
        <w:numPr>
          <w:ilvl w:val="2"/>
          <w:numId w:val="6"/>
        </w:numPr>
      </w:pPr>
      <w:r>
        <w:t>else</w:t>
      </w:r>
      <w:r w:rsidR="00A15F48">
        <w:t>, if cannot search this text,</w:t>
      </w:r>
      <w:r w:rsidR="00D604DC">
        <w:t xml:space="preserve"> </w:t>
      </w:r>
      <w:r w:rsidR="002E39F4">
        <w:t>must have 1 of the</w:t>
      </w:r>
      <w:r w:rsidR="00D604DC">
        <w:t xml:space="preserve"> ICD-9 codes from Table 1 below, within 1 week of the MRSA positive culture</w:t>
      </w:r>
    </w:p>
    <w:p w14:paraId="55878EDC" w14:textId="25261798" w:rsidR="000162AA" w:rsidRPr="00021708" w:rsidRDefault="00FB3D05" w:rsidP="00021708">
      <w:pPr>
        <w:pStyle w:val="ListParagraph"/>
        <w:numPr>
          <w:ilvl w:val="1"/>
          <w:numId w:val="6"/>
        </w:numPr>
        <w:rPr>
          <w:u w:val="single"/>
        </w:rPr>
      </w:pPr>
      <w:r w:rsidRPr="00021708">
        <w:rPr>
          <w:u w:val="single"/>
        </w:rPr>
        <w:t>For controls</w:t>
      </w:r>
      <w:r>
        <w:t xml:space="preserve">:  </w:t>
      </w:r>
    </w:p>
    <w:p w14:paraId="4C8079E5" w14:textId="77777777" w:rsidR="000162AA" w:rsidRDefault="00117D96" w:rsidP="000162AA">
      <w:pPr>
        <w:pStyle w:val="ListParagraph"/>
        <w:numPr>
          <w:ilvl w:val="2"/>
          <w:numId w:val="6"/>
        </w:numPr>
      </w:pPr>
      <w:r>
        <w:t xml:space="preserve">Exclude if </w:t>
      </w:r>
      <w:r w:rsidR="00C85E7C">
        <w:t xml:space="preserve">any of </w:t>
      </w:r>
      <w:r w:rsidR="00FB3D05">
        <w:t xml:space="preserve">the </w:t>
      </w:r>
      <w:r w:rsidR="00877A5D">
        <w:t xml:space="preserve">above </w:t>
      </w:r>
      <w:r w:rsidR="00FB3D05">
        <w:t>list</w:t>
      </w:r>
      <w:r w:rsidR="00166BD3">
        <w:t xml:space="preserve"> of keywords</w:t>
      </w:r>
      <w:r w:rsidR="00FB3D05">
        <w:t xml:space="preserve"> </w:t>
      </w:r>
      <w:r>
        <w:t>f</w:t>
      </w:r>
      <w:r w:rsidR="00FB3D05">
        <w:t>or cases</w:t>
      </w:r>
      <w:r>
        <w:t xml:space="preserve"> is found </w:t>
      </w:r>
      <w:r w:rsidR="00065552">
        <w:t>in the text result</w:t>
      </w:r>
      <w:r>
        <w:t xml:space="preserve"> of a lab test</w:t>
      </w:r>
    </w:p>
    <w:p w14:paraId="77D11636" w14:textId="77777777" w:rsidR="00FB3D05" w:rsidRDefault="007516F2" w:rsidP="000162AA">
      <w:pPr>
        <w:pStyle w:val="ListParagraph"/>
        <w:numPr>
          <w:ilvl w:val="2"/>
          <w:numId w:val="6"/>
        </w:numPr>
      </w:pPr>
      <w:r>
        <w:t>AND</w:t>
      </w:r>
      <w:r w:rsidR="00FB3D05">
        <w:t xml:space="preserve"> use the ICD-9 codes </w:t>
      </w:r>
      <w:r w:rsidR="005F10B4">
        <w:t xml:space="preserve">in Table 1 </w:t>
      </w:r>
      <w:r w:rsidR="00FB3D05">
        <w:t>as exclusions</w:t>
      </w:r>
      <w:r w:rsidR="005F10B4">
        <w:t xml:space="preserve"> if they occurred at any time</w:t>
      </w:r>
      <w:r w:rsidR="00392F4E">
        <w:t>:</w:t>
      </w:r>
    </w:p>
    <w:p w14:paraId="2B4E1585" w14:textId="77777777" w:rsidR="00BB7717" w:rsidRDefault="00BB7717" w:rsidP="00BB7717">
      <w:pPr>
        <w:pStyle w:val="ListParagraph"/>
        <w:ind w:left="1080"/>
        <w:rPr>
          <w:u w:val="single"/>
        </w:rPr>
      </w:pPr>
    </w:p>
    <w:p w14:paraId="5C9412F4" w14:textId="77777777" w:rsidR="00EA4DFC" w:rsidRDefault="00EA4DFC" w:rsidP="00BB7717">
      <w:pPr>
        <w:pStyle w:val="ListParagraph"/>
        <w:ind w:left="1080"/>
        <w:rPr>
          <w:b/>
          <w:u w:val="single"/>
        </w:rPr>
      </w:pPr>
    </w:p>
    <w:p w14:paraId="37A80C15" w14:textId="77777777" w:rsidR="00EA4DFC" w:rsidRDefault="00EA4DFC" w:rsidP="00BB7717">
      <w:pPr>
        <w:pStyle w:val="ListParagraph"/>
        <w:ind w:left="1080"/>
        <w:rPr>
          <w:b/>
          <w:u w:val="single"/>
        </w:rPr>
      </w:pPr>
    </w:p>
    <w:p w14:paraId="44E45B9E" w14:textId="77777777" w:rsidR="00EA4DFC" w:rsidRDefault="00EA4DFC" w:rsidP="00BB7717">
      <w:pPr>
        <w:pStyle w:val="ListParagraph"/>
        <w:ind w:left="1080"/>
        <w:rPr>
          <w:b/>
          <w:u w:val="single"/>
        </w:rPr>
      </w:pPr>
    </w:p>
    <w:p w14:paraId="079B9C03" w14:textId="77777777" w:rsidR="00EA4DFC" w:rsidRDefault="00EA4DFC" w:rsidP="00BB7717">
      <w:pPr>
        <w:pStyle w:val="ListParagraph"/>
        <w:ind w:left="1080"/>
        <w:rPr>
          <w:b/>
          <w:u w:val="single"/>
        </w:rPr>
      </w:pPr>
    </w:p>
    <w:p w14:paraId="77BCC9DF" w14:textId="77777777" w:rsidR="00EA4DFC" w:rsidRDefault="00EA4DFC" w:rsidP="00BB7717">
      <w:pPr>
        <w:pStyle w:val="ListParagraph"/>
        <w:ind w:left="1080"/>
        <w:rPr>
          <w:b/>
          <w:u w:val="single"/>
        </w:rPr>
      </w:pPr>
    </w:p>
    <w:p w14:paraId="2099655A" w14:textId="77777777" w:rsidR="00EA4DFC" w:rsidRDefault="00EA4DFC" w:rsidP="00BB7717">
      <w:pPr>
        <w:pStyle w:val="ListParagraph"/>
        <w:ind w:left="1080"/>
        <w:rPr>
          <w:b/>
          <w:u w:val="single"/>
        </w:rPr>
      </w:pPr>
    </w:p>
    <w:p w14:paraId="37D1F28E" w14:textId="77777777" w:rsidR="00EA4DFC" w:rsidRDefault="00EA4DFC" w:rsidP="00BB7717">
      <w:pPr>
        <w:pStyle w:val="ListParagraph"/>
        <w:ind w:left="1080"/>
        <w:rPr>
          <w:b/>
          <w:u w:val="single"/>
        </w:rPr>
      </w:pPr>
    </w:p>
    <w:p w14:paraId="0C5308A8" w14:textId="77777777" w:rsidR="00EA4DFC" w:rsidRDefault="00EA4DFC" w:rsidP="00BB7717">
      <w:pPr>
        <w:pStyle w:val="ListParagraph"/>
        <w:ind w:left="1080"/>
        <w:rPr>
          <w:b/>
          <w:u w:val="single"/>
        </w:rPr>
      </w:pPr>
    </w:p>
    <w:p w14:paraId="687FCB0D" w14:textId="77777777" w:rsidR="00EA4DFC" w:rsidRDefault="00EA4DFC" w:rsidP="00BB7717">
      <w:pPr>
        <w:pStyle w:val="ListParagraph"/>
        <w:ind w:left="1080"/>
        <w:rPr>
          <w:b/>
          <w:u w:val="single"/>
        </w:rPr>
      </w:pPr>
    </w:p>
    <w:p w14:paraId="6D9C6B8D" w14:textId="77777777" w:rsidR="00BB7717" w:rsidRDefault="00BB7717" w:rsidP="00BB7717">
      <w:pPr>
        <w:pStyle w:val="ListParagraph"/>
        <w:ind w:left="1080"/>
        <w:rPr>
          <w:u w:val="single"/>
        </w:rPr>
      </w:pPr>
      <w:r w:rsidRPr="00F000A5">
        <w:rPr>
          <w:b/>
          <w:u w:val="single"/>
        </w:rPr>
        <w:lastRenderedPageBreak/>
        <w:t>Table 1</w:t>
      </w:r>
      <w:r w:rsidR="0004429E">
        <w:rPr>
          <w:u w:val="single"/>
        </w:rPr>
        <w:t xml:space="preserve">:  </w:t>
      </w:r>
      <w:r>
        <w:rPr>
          <w:u w:val="single"/>
        </w:rPr>
        <w:t>from</w:t>
      </w:r>
      <w:r w:rsidR="0004429E">
        <w:rPr>
          <w:u w:val="single"/>
        </w:rPr>
        <w:t xml:space="preserve"> </w:t>
      </w:r>
      <w:proofErr w:type="spellStart"/>
      <w:r w:rsidR="0004429E" w:rsidRPr="0004429E">
        <w:rPr>
          <w:u w:val="single"/>
        </w:rPr>
        <w:t>McCaig</w:t>
      </w:r>
      <w:proofErr w:type="spellEnd"/>
      <w:r w:rsidR="0004429E" w:rsidRPr="0004429E">
        <w:rPr>
          <w:u w:val="single"/>
        </w:rPr>
        <w:t>, et al.</w:t>
      </w:r>
      <w:r w:rsidR="000B2226">
        <w:rPr>
          <w:u w:val="single"/>
        </w:rPr>
        <w:t>:</w:t>
      </w:r>
      <w:r w:rsidR="0004429E" w:rsidRPr="0004429E">
        <w:rPr>
          <w:u w:val="single"/>
        </w:rPr>
        <w:t xml:space="preserve"> Staphylococcus aureus–associated Skin and Soft Tissue Infections in Ambulatory Care (</w:t>
      </w:r>
      <w:hyperlink r:id="rId7" w:history="1">
        <w:r w:rsidR="0004429E" w:rsidRPr="00770C68">
          <w:rPr>
            <w:rStyle w:val="Hyperlink"/>
          </w:rPr>
          <w:t>http://wwwnc.cdc.gov/eid/article/12/11/06-0190-t1</w:t>
        </w:r>
      </w:hyperlink>
      <w:r w:rsidR="0004429E" w:rsidRPr="0004429E">
        <w:rPr>
          <w:u w:val="single"/>
        </w:rPr>
        <w:t>)</w:t>
      </w:r>
      <w:r>
        <w:rPr>
          <w:u w:val="single"/>
        </w:rPr>
        <w:t xml:space="preserve"> </w:t>
      </w:r>
    </w:p>
    <w:tbl>
      <w:tblPr>
        <w:tblW w:w="0" w:type="auto"/>
        <w:tblInd w:w="1286" w:type="dxa"/>
        <w:tblLook w:val="04A0" w:firstRow="1" w:lastRow="0" w:firstColumn="1" w:lastColumn="0" w:noHBand="0" w:noVBand="1"/>
      </w:tblPr>
      <w:tblGrid>
        <w:gridCol w:w="5850"/>
        <w:gridCol w:w="1584"/>
      </w:tblGrid>
      <w:tr w:rsidR="00EA4DFC" w:rsidRPr="00EA4DFC" w14:paraId="79161587" w14:textId="77777777" w:rsidTr="00EA4DF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7F93286E" w14:textId="77777777" w:rsidR="00EA4DFC" w:rsidRPr="00EA4DFC" w:rsidRDefault="00EA4DFC" w:rsidP="00EA4DFC">
            <w:pPr>
              <w:pStyle w:val="NormalWeb"/>
              <w:spacing w:line="0" w:lineRule="atLeast"/>
              <w:ind w:left="360"/>
              <w:rPr>
                <w:rFonts w:asciiTheme="minorHAnsi" w:hAnsiTheme="minorHAnsi" w:cs="Arial"/>
                <w:color w:val="000000"/>
                <w:sz w:val="22"/>
                <w:szCs w:val="22"/>
              </w:rPr>
            </w:pPr>
            <w:r w:rsidRPr="00EA4DFC">
              <w:rPr>
                <w:rFonts w:asciiTheme="minorHAnsi" w:hAnsiTheme="minorHAnsi" w:cs="Arial"/>
                <w:color w:val="000000"/>
                <w:sz w:val="22"/>
                <w:szCs w:val="22"/>
              </w:rPr>
              <w:t>Diagnosis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4B82EEF5" w14:textId="77777777" w:rsidR="00EA4DFC" w:rsidRPr="00EA4DFC" w:rsidRDefault="00EA4DFC" w:rsidP="00EA4DFC">
            <w:pPr>
              <w:pStyle w:val="NormalWeb"/>
              <w:spacing w:line="0" w:lineRule="atLeast"/>
              <w:rPr>
                <w:rFonts w:asciiTheme="minorHAnsi" w:hAnsiTheme="minorHAnsi" w:cs="Arial"/>
                <w:color w:val="000000"/>
                <w:sz w:val="22"/>
                <w:szCs w:val="22"/>
              </w:rPr>
            </w:pPr>
            <w:r w:rsidRPr="00EA4DFC">
              <w:rPr>
                <w:rFonts w:asciiTheme="minorHAnsi" w:hAnsiTheme="minorHAnsi" w:cs="Arial"/>
                <w:color w:val="000000"/>
                <w:sz w:val="22"/>
                <w:szCs w:val="22"/>
              </w:rPr>
              <w:t>ICD-9-CM code</w:t>
            </w:r>
          </w:p>
        </w:tc>
      </w:tr>
      <w:tr w:rsidR="00EA4DFC" w:rsidRPr="00EA4DFC" w14:paraId="336F454E" w14:textId="77777777" w:rsidTr="00EA4DF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5F44C4CB" w14:textId="77777777" w:rsidR="00EA4DFC" w:rsidRPr="00EA4DFC" w:rsidRDefault="00EA4DFC" w:rsidP="00EA4DFC">
            <w:pPr>
              <w:pStyle w:val="NormalWeb"/>
              <w:spacing w:line="0" w:lineRule="atLeast"/>
              <w:ind w:left="360"/>
              <w:jc w:val="center"/>
              <w:rPr>
                <w:rFonts w:asciiTheme="minorHAnsi" w:hAnsiTheme="minorHAnsi" w:cs="Arial"/>
                <w:color w:val="000000"/>
                <w:sz w:val="22"/>
                <w:szCs w:val="22"/>
              </w:rPr>
            </w:pPr>
            <w:r w:rsidRPr="00EA4DFC">
              <w:rPr>
                <w:rFonts w:asciiTheme="minorHAnsi" w:hAnsiTheme="minorHAnsi" w:cs="Arial"/>
                <w:color w:val="000000"/>
                <w:sz w:val="22"/>
                <w:szCs w:val="22"/>
              </w:rPr>
              <w:t>Inflammatory disease of breast</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6C3E772F" w14:textId="77777777" w:rsidR="00EA4DFC" w:rsidRPr="00EA4DFC" w:rsidRDefault="00EA4DFC" w:rsidP="00EA4DFC">
            <w:pPr>
              <w:pStyle w:val="NormalWeb"/>
              <w:spacing w:line="0" w:lineRule="atLeast"/>
              <w:rPr>
                <w:rFonts w:asciiTheme="minorHAnsi" w:hAnsiTheme="minorHAnsi" w:cs="Arial"/>
                <w:color w:val="000000"/>
                <w:sz w:val="22"/>
                <w:szCs w:val="22"/>
              </w:rPr>
            </w:pPr>
            <w:r w:rsidRPr="00EA4DFC">
              <w:rPr>
                <w:rFonts w:asciiTheme="minorHAnsi" w:hAnsiTheme="minorHAnsi" w:cs="Arial"/>
                <w:color w:val="000000"/>
                <w:sz w:val="22"/>
                <w:szCs w:val="22"/>
              </w:rPr>
              <w:t>611</w:t>
            </w:r>
          </w:p>
        </w:tc>
      </w:tr>
      <w:tr w:rsidR="00EA4DFC" w:rsidRPr="00EA4DFC" w14:paraId="3872D422" w14:textId="77777777" w:rsidTr="00EA4DF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4EC2854C" w14:textId="77777777" w:rsidR="00EA4DFC" w:rsidRPr="00EA4DFC" w:rsidRDefault="00EA4DFC" w:rsidP="00EA4DFC">
            <w:pPr>
              <w:pStyle w:val="NormalWeb"/>
              <w:spacing w:line="0" w:lineRule="atLeast"/>
              <w:ind w:left="360"/>
              <w:jc w:val="center"/>
              <w:rPr>
                <w:rFonts w:asciiTheme="minorHAnsi" w:hAnsiTheme="minorHAnsi" w:cs="Arial"/>
                <w:color w:val="000000"/>
                <w:sz w:val="22"/>
                <w:szCs w:val="22"/>
              </w:rPr>
            </w:pPr>
            <w:r w:rsidRPr="00EA4DFC">
              <w:rPr>
                <w:rFonts w:asciiTheme="minorHAnsi" w:hAnsiTheme="minorHAnsi" w:cs="Arial"/>
                <w:color w:val="000000"/>
                <w:sz w:val="22"/>
                <w:szCs w:val="22"/>
              </w:rPr>
              <w:t>Carbuncle and furuncle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178084C9" w14:textId="77777777" w:rsidR="00EA4DFC" w:rsidRPr="00EA4DFC" w:rsidRDefault="00EA4DFC" w:rsidP="00EA4DFC">
            <w:pPr>
              <w:pStyle w:val="NormalWeb"/>
              <w:spacing w:line="0" w:lineRule="atLeast"/>
              <w:rPr>
                <w:rFonts w:asciiTheme="minorHAnsi" w:hAnsiTheme="minorHAnsi" w:cs="Arial"/>
                <w:color w:val="000000"/>
                <w:sz w:val="22"/>
                <w:szCs w:val="22"/>
              </w:rPr>
            </w:pPr>
            <w:r w:rsidRPr="00EA4DFC">
              <w:rPr>
                <w:rFonts w:asciiTheme="minorHAnsi" w:hAnsiTheme="minorHAnsi" w:cs="Arial"/>
                <w:color w:val="000000"/>
                <w:sz w:val="22"/>
                <w:szCs w:val="22"/>
              </w:rPr>
              <w:t>680.*</w:t>
            </w:r>
          </w:p>
        </w:tc>
      </w:tr>
      <w:tr w:rsidR="00EA4DFC" w:rsidRPr="00EA4DFC" w14:paraId="026C58FD" w14:textId="77777777" w:rsidTr="00EA4DF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2840F046" w14:textId="77777777" w:rsidR="00EA4DFC" w:rsidRPr="00EA4DFC" w:rsidRDefault="00EA4DFC" w:rsidP="00EA4DFC">
            <w:pPr>
              <w:pStyle w:val="NormalWeb"/>
              <w:spacing w:line="0" w:lineRule="atLeast"/>
              <w:ind w:left="360"/>
              <w:jc w:val="center"/>
              <w:rPr>
                <w:rFonts w:asciiTheme="minorHAnsi" w:hAnsiTheme="minorHAnsi" w:cs="Arial"/>
                <w:color w:val="000000"/>
                <w:sz w:val="22"/>
                <w:szCs w:val="22"/>
              </w:rPr>
            </w:pPr>
            <w:r w:rsidRPr="00EA4DFC">
              <w:rPr>
                <w:rFonts w:asciiTheme="minorHAnsi" w:hAnsiTheme="minorHAnsi" w:cs="Arial"/>
                <w:color w:val="000000"/>
                <w:sz w:val="22"/>
                <w:szCs w:val="22"/>
              </w:rPr>
              <w:t>Cellulitis and abscess of finger and toe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5E4E71B0" w14:textId="77777777" w:rsidR="00EA4DFC" w:rsidRPr="00EA4DFC" w:rsidRDefault="00EA4DFC" w:rsidP="00EA4DFC">
            <w:pPr>
              <w:pStyle w:val="NormalWeb"/>
              <w:spacing w:line="0" w:lineRule="atLeast"/>
              <w:rPr>
                <w:rFonts w:asciiTheme="minorHAnsi" w:hAnsiTheme="minorHAnsi" w:cs="Arial"/>
                <w:color w:val="000000"/>
                <w:sz w:val="22"/>
                <w:szCs w:val="22"/>
              </w:rPr>
            </w:pPr>
            <w:r w:rsidRPr="00EA4DFC">
              <w:rPr>
                <w:rFonts w:asciiTheme="minorHAnsi" w:hAnsiTheme="minorHAnsi" w:cs="Arial"/>
                <w:color w:val="000000"/>
                <w:sz w:val="22"/>
                <w:szCs w:val="22"/>
              </w:rPr>
              <w:t>681.*</w:t>
            </w:r>
          </w:p>
        </w:tc>
      </w:tr>
      <w:tr w:rsidR="00EA4DFC" w:rsidRPr="00EA4DFC" w14:paraId="450B4DC3" w14:textId="77777777" w:rsidTr="00EA4DF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119E928B" w14:textId="77777777" w:rsidR="00EA4DFC" w:rsidRPr="00EA4DFC" w:rsidRDefault="00EA4DFC" w:rsidP="00EA4DFC">
            <w:pPr>
              <w:pStyle w:val="NormalWeb"/>
              <w:spacing w:line="0" w:lineRule="atLeast"/>
              <w:ind w:left="360"/>
              <w:jc w:val="center"/>
              <w:rPr>
                <w:rFonts w:asciiTheme="minorHAnsi" w:hAnsiTheme="minorHAnsi" w:cs="Arial"/>
                <w:color w:val="000000"/>
                <w:sz w:val="22"/>
                <w:szCs w:val="22"/>
              </w:rPr>
            </w:pPr>
            <w:r w:rsidRPr="00EA4DFC">
              <w:rPr>
                <w:rFonts w:asciiTheme="minorHAnsi" w:hAnsiTheme="minorHAnsi" w:cs="Arial"/>
                <w:color w:val="000000"/>
                <w:sz w:val="22"/>
                <w:szCs w:val="22"/>
              </w:rPr>
              <w:t>Other cellulitis and abscess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0B688D8F" w14:textId="77777777" w:rsidR="00EA4DFC" w:rsidRPr="00EA4DFC" w:rsidRDefault="00EA4DFC" w:rsidP="00EA4DFC">
            <w:pPr>
              <w:pStyle w:val="NormalWeb"/>
              <w:spacing w:line="0" w:lineRule="atLeast"/>
              <w:rPr>
                <w:rFonts w:asciiTheme="minorHAnsi" w:hAnsiTheme="minorHAnsi" w:cs="Arial"/>
                <w:color w:val="000000"/>
                <w:sz w:val="22"/>
                <w:szCs w:val="22"/>
              </w:rPr>
            </w:pPr>
            <w:r w:rsidRPr="00EA4DFC">
              <w:rPr>
                <w:rFonts w:asciiTheme="minorHAnsi" w:hAnsiTheme="minorHAnsi" w:cs="Arial"/>
                <w:color w:val="000000"/>
                <w:sz w:val="22"/>
                <w:szCs w:val="22"/>
              </w:rPr>
              <w:t>682.*</w:t>
            </w:r>
          </w:p>
        </w:tc>
      </w:tr>
      <w:tr w:rsidR="00EA4DFC" w:rsidRPr="00EA4DFC" w14:paraId="04813577" w14:textId="77777777" w:rsidTr="00EA4DF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5DB30F20" w14:textId="77777777" w:rsidR="00EA4DFC" w:rsidRPr="00EA4DFC" w:rsidRDefault="00EA4DFC" w:rsidP="00EA4DFC">
            <w:pPr>
              <w:pStyle w:val="NormalWeb"/>
              <w:spacing w:line="0" w:lineRule="atLeast"/>
              <w:ind w:left="360"/>
              <w:jc w:val="center"/>
              <w:rPr>
                <w:rFonts w:asciiTheme="minorHAnsi" w:hAnsiTheme="minorHAnsi" w:cs="Arial"/>
                <w:color w:val="000000"/>
                <w:sz w:val="22"/>
                <w:szCs w:val="22"/>
              </w:rPr>
            </w:pPr>
            <w:r w:rsidRPr="00EA4DFC">
              <w:rPr>
                <w:rFonts w:asciiTheme="minorHAnsi" w:hAnsiTheme="minorHAnsi" w:cs="Arial"/>
                <w:color w:val="000000"/>
                <w:sz w:val="22"/>
                <w:szCs w:val="22"/>
              </w:rPr>
              <w:t>Impetigo</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39581DEF" w14:textId="77777777" w:rsidR="00EA4DFC" w:rsidRPr="00EA4DFC" w:rsidRDefault="00EA4DFC" w:rsidP="00EA4DFC">
            <w:pPr>
              <w:pStyle w:val="NormalWeb"/>
              <w:spacing w:line="0" w:lineRule="atLeast"/>
              <w:rPr>
                <w:rFonts w:asciiTheme="minorHAnsi" w:hAnsiTheme="minorHAnsi" w:cs="Arial"/>
                <w:color w:val="000000"/>
                <w:sz w:val="22"/>
                <w:szCs w:val="22"/>
              </w:rPr>
            </w:pPr>
            <w:r w:rsidRPr="00EA4DFC">
              <w:rPr>
                <w:rFonts w:asciiTheme="minorHAnsi" w:hAnsiTheme="minorHAnsi" w:cs="Arial"/>
                <w:color w:val="000000"/>
                <w:sz w:val="22"/>
                <w:szCs w:val="22"/>
              </w:rPr>
              <w:t>684.*</w:t>
            </w:r>
          </w:p>
        </w:tc>
      </w:tr>
      <w:tr w:rsidR="00EA4DFC" w:rsidRPr="00EA4DFC" w14:paraId="395592DD" w14:textId="77777777" w:rsidTr="00EA4DF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6BECCF53" w14:textId="77777777" w:rsidR="00EA4DFC" w:rsidRPr="00EA4DFC" w:rsidRDefault="00EA4DFC" w:rsidP="00EA4DFC">
            <w:pPr>
              <w:pStyle w:val="NormalWeb"/>
              <w:spacing w:line="0" w:lineRule="atLeast"/>
              <w:ind w:left="360"/>
              <w:jc w:val="center"/>
              <w:rPr>
                <w:rFonts w:asciiTheme="minorHAnsi" w:hAnsiTheme="minorHAnsi" w:cs="Arial"/>
                <w:color w:val="000000"/>
                <w:sz w:val="22"/>
                <w:szCs w:val="22"/>
              </w:rPr>
            </w:pPr>
            <w:r w:rsidRPr="00EA4DFC">
              <w:rPr>
                <w:rFonts w:asciiTheme="minorHAnsi" w:hAnsiTheme="minorHAnsi" w:cs="Arial"/>
                <w:color w:val="000000"/>
                <w:sz w:val="22"/>
                <w:szCs w:val="22"/>
              </w:rPr>
              <w:t>Unspecified local infection of skin and subcutaneous tissue</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76DA8CB9" w14:textId="77777777" w:rsidR="00EA4DFC" w:rsidRPr="00EA4DFC" w:rsidRDefault="00EA4DFC" w:rsidP="00EA4DFC">
            <w:pPr>
              <w:pStyle w:val="NormalWeb"/>
              <w:spacing w:line="0" w:lineRule="atLeast"/>
              <w:rPr>
                <w:rFonts w:asciiTheme="minorHAnsi" w:hAnsiTheme="minorHAnsi" w:cs="Arial"/>
                <w:color w:val="000000"/>
                <w:sz w:val="22"/>
                <w:szCs w:val="22"/>
              </w:rPr>
            </w:pPr>
            <w:r w:rsidRPr="00EA4DFC">
              <w:rPr>
                <w:rFonts w:asciiTheme="minorHAnsi" w:hAnsiTheme="minorHAnsi" w:cs="Arial"/>
                <w:color w:val="000000"/>
                <w:sz w:val="22"/>
                <w:szCs w:val="22"/>
              </w:rPr>
              <w:t>686.9</w:t>
            </w:r>
          </w:p>
        </w:tc>
      </w:tr>
      <w:tr w:rsidR="00EA4DFC" w:rsidRPr="00EA4DFC" w14:paraId="6141F1A5" w14:textId="77777777" w:rsidTr="00EA4DF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22EFF34A" w14:textId="77777777" w:rsidR="00EA4DFC" w:rsidRPr="00EA4DFC" w:rsidRDefault="00EA4DFC" w:rsidP="00EA4DFC">
            <w:pPr>
              <w:pStyle w:val="NormalWeb"/>
              <w:spacing w:line="0" w:lineRule="atLeast"/>
              <w:ind w:left="360"/>
              <w:jc w:val="center"/>
              <w:rPr>
                <w:rFonts w:asciiTheme="minorHAnsi" w:hAnsiTheme="minorHAnsi" w:cs="Arial"/>
                <w:color w:val="000000"/>
                <w:sz w:val="22"/>
                <w:szCs w:val="22"/>
              </w:rPr>
            </w:pPr>
            <w:r w:rsidRPr="00EA4DFC">
              <w:rPr>
                <w:rFonts w:asciiTheme="minorHAnsi" w:hAnsiTheme="minorHAnsi" w:cs="Arial"/>
                <w:color w:val="000000"/>
                <w:sz w:val="22"/>
                <w:szCs w:val="22"/>
              </w:rPr>
              <w:t>Other specified diseases of hair and hair follicles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6A5530E7" w14:textId="77777777" w:rsidR="00EA4DFC" w:rsidRPr="00EA4DFC" w:rsidRDefault="00EA4DFC" w:rsidP="00EA4DFC">
            <w:pPr>
              <w:pStyle w:val="NormalWeb"/>
              <w:spacing w:line="0" w:lineRule="atLeast"/>
              <w:rPr>
                <w:rFonts w:asciiTheme="minorHAnsi" w:hAnsiTheme="minorHAnsi" w:cs="Arial"/>
                <w:color w:val="000000"/>
                <w:sz w:val="22"/>
                <w:szCs w:val="22"/>
              </w:rPr>
            </w:pPr>
            <w:r w:rsidRPr="00EA4DFC">
              <w:rPr>
                <w:rFonts w:asciiTheme="minorHAnsi" w:hAnsiTheme="minorHAnsi" w:cs="Arial"/>
                <w:color w:val="000000"/>
                <w:sz w:val="22"/>
                <w:szCs w:val="22"/>
              </w:rPr>
              <w:t>704.8</w:t>
            </w:r>
          </w:p>
        </w:tc>
      </w:tr>
      <w:tr w:rsidR="00EA4DFC" w:rsidRPr="00EA4DFC" w14:paraId="09C5AD28" w14:textId="77777777" w:rsidTr="00EA4DF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39E03E14" w14:textId="77777777" w:rsidR="00EA4DFC" w:rsidRPr="00EA4DFC" w:rsidRDefault="00EA4DFC" w:rsidP="00EA4DFC">
            <w:pPr>
              <w:pStyle w:val="NormalWeb"/>
              <w:spacing w:line="0" w:lineRule="atLeast"/>
              <w:ind w:left="360"/>
              <w:jc w:val="center"/>
              <w:rPr>
                <w:rFonts w:asciiTheme="minorHAnsi" w:hAnsiTheme="minorHAnsi" w:cs="Arial"/>
                <w:color w:val="000000"/>
                <w:sz w:val="22"/>
                <w:szCs w:val="22"/>
              </w:rPr>
            </w:pPr>
            <w:proofErr w:type="spellStart"/>
            <w:r w:rsidRPr="00EA4DFC">
              <w:rPr>
                <w:rFonts w:asciiTheme="minorHAnsi" w:hAnsiTheme="minorHAnsi" w:cs="Arial"/>
                <w:color w:val="000000"/>
                <w:sz w:val="22"/>
                <w:szCs w:val="22"/>
              </w:rPr>
              <w:t>Hydradenitis</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vAlign w:val="bottom"/>
            <w:hideMark/>
          </w:tcPr>
          <w:p w14:paraId="6ABA57C2" w14:textId="77777777" w:rsidR="00EA4DFC" w:rsidRPr="00EA4DFC" w:rsidRDefault="00EA4DFC" w:rsidP="00EA4DFC">
            <w:pPr>
              <w:pStyle w:val="NormalWeb"/>
              <w:spacing w:line="0" w:lineRule="atLeast"/>
              <w:rPr>
                <w:rFonts w:asciiTheme="minorHAnsi" w:hAnsiTheme="minorHAnsi" w:cs="Arial"/>
                <w:color w:val="000000"/>
                <w:sz w:val="22"/>
                <w:szCs w:val="22"/>
              </w:rPr>
            </w:pPr>
            <w:r w:rsidRPr="00EA4DFC">
              <w:rPr>
                <w:rFonts w:asciiTheme="minorHAnsi" w:hAnsiTheme="minorHAnsi" w:cs="Arial"/>
                <w:color w:val="000000"/>
                <w:sz w:val="22"/>
                <w:szCs w:val="22"/>
              </w:rPr>
              <w:t>705.83</w:t>
            </w:r>
          </w:p>
        </w:tc>
      </w:tr>
    </w:tbl>
    <w:p w14:paraId="024FE6D5" w14:textId="77777777" w:rsidR="004E4785" w:rsidRDefault="004E4785" w:rsidP="004E4785">
      <w:pPr>
        <w:pStyle w:val="ListParagraph"/>
        <w:ind w:left="360"/>
      </w:pPr>
    </w:p>
    <w:p w14:paraId="49DFECA1" w14:textId="77777777" w:rsidR="00F4017A" w:rsidRDefault="00F4017A" w:rsidP="00EA4DFC"/>
    <w:p w14:paraId="7D17F01D" w14:textId="77777777" w:rsidR="00EA4DFC" w:rsidRDefault="00D50843" w:rsidP="00021708">
      <w:pPr>
        <w:pStyle w:val="ListParagraph"/>
        <w:numPr>
          <w:ilvl w:val="0"/>
          <w:numId w:val="6"/>
        </w:numPr>
      </w:pPr>
      <w:r w:rsidRPr="00221801">
        <w:rPr>
          <w:u w:val="single"/>
        </w:rPr>
        <w:t>History of MRSA</w:t>
      </w:r>
      <w:r w:rsidR="00A97388">
        <w:rPr>
          <w:u w:val="single"/>
        </w:rPr>
        <w:t xml:space="preserve"> infection</w:t>
      </w:r>
      <w:r w:rsidR="007200A7">
        <w:t xml:space="preserve">:  </w:t>
      </w:r>
      <w:r>
        <w:t xml:space="preserve"> </w:t>
      </w:r>
      <w:r w:rsidR="00A97388" w:rsidRPr="00A97388">
        <w:t>use ICD-9 code</w:t>
      </w:r>
      <w:r w:rsidR="00A97388">
        <w:t>s</w:t>
      </w:r>
      <w:r w:rsidR="00A97388" w:rsidRPr="00A97388">
        <w:t xml:space="preserve"> 041.12, 482.42, 4</w:t>
      </w:r>
      <w:r w:rsidR="00275180">
        <w:t xml:space="preserve">82.41, 038.12, V02.54, V12.04, </w:t>
      </w:r>
      <w:proofErr w:type="gramStart"/>
      <w:r w:rsidR="00275180">
        <w:t>V</w:t>
      </w:r>
      <w:r w:rsidR="00A97388" w:rsidRPr="00A97388">
        <w:t>09.0</w:t>
      </w:r>
      <w:proofErr w:type="gramEnd"/>
      <w:r w:rsidR="00DE61D4">
        <w:t>.  Search anywhere there are diagnosis codes, and also in the problem list.  If you have text in your problem list, please also search for MRSA that way.</w:t>
      </w:r>
    </w:p>
    <w:p w14:paraId="2C314CB2" w14:textId="77777777" w:rsidR="00EA4DFC" w:rsidRDefault="00EA4DFC" w:rsidP="00EA4DFC">
      <w:pPr>
        <w:pStyle w:val="ListParagraph"/>
        <w:ind w:left="360"/>
      </w:pPr>
    </w:p>
    <w:p w14:paraId="6458CD2E" w14:textId="1785498E" w:rsidR="00021708" w:rsidRPr="00D9014C" w:rsidRDefault="00021708" w:rsidP="00021708">
      <w:pPr>
        <w:pStyle w:val="ListParagraph"/>
        <w:numPr>
          <w:ilvl w:val="1"/>
          <w:numId w:val="7"/>
        </w:numPr>
        <w:rPr>
          <w:rFonts w:eastAsia="Times New Roman" w:cs="Times New Roman"/>
          <w:b/>
          <w:bCs/>
        </w:rPr>
      </w:pPr>
      <w:r w:rsidRPr="00D9014C">
        <w:rPr>
          <w:rFonts w:eastAsia="Times New Roman" w:cs="Times New Roman"/>
          <w:b/>
          <w:bCs/>
        </w:rPr>
        <w:br w:type="page"/>
      </w:r>
    </w:p>
    <w:p w14:paraId="3719D015" w14:textId="77777777" w:rsidR="00E306A5" w:rsidRPr="00C27C3F" w:rsidRDefault="00E306A5" w:rsidP="00E306A5">
      <w:pPr>
        <w:rPr>
          <w:b/>
        </w:rPr>
      </w:pPr>
      <w:r w:rsidRPr="00C27C3F">
        <w:rPr>
          <w:b/>
        </w:rPr>
        <w:lastRenderedPageBreak/>
        <w:t>Additional desired variables:</w:t>
      </w:r>
    </w:p>
    <w:p w14:paraId="74507B76" w14:textId="77777777" w:rsidR="00E306A5" w:rsidRDefault="00E306A5" w:rsidP="00E306A5">
      <w:r>
        <w:t>We will also capture the following variables to define our study cohort:</w:t>
      </w:r>
    </w:p>
    <w:p w14:paraId="4E9D42CC" w14:textId="77777777" w:rsidR="00FA34FF" w:rsidRDefault="00FA34FF" w:rsidP="00AC2DFB">
      <w:pPr>
        <w:pStyle w:val="ListParagraph"/>
        <w:numPr>
          <w:ilvl w:val="0"/>
          <w:numId w:val="4"/>
        </w:numPr>
      </w:pPr>
      <w:r>
        <w:t>Demographics:</w:t>
      </w:r>
    </w:p>
    <w:p w14:paraId="0218595D" w14:textId="77777777" w:rsidR="004E4322" w:rsidRDefault="00E306A5" w:rsidP="00AC2DFB">
      <w:pPr>
        <w:pStyle w:val="ListParagraph"/>
        <w:numPr>
          <w:ilvl w:val="1"/>
          <w:numId w:val="4"/>
        </w:numPr>
      </w:pPr>
      <w:r w:rsidRPr="00FA34FF">
        <w:t xml:space="preserve">Age </w:t>
      </w:r>
    </w:p>
    <w:p w14:paraId="7B2902AC" w14:textId="77777777" w:rsidR="004E4322" w:rsidRDefault="00E306A5" w:rsidP="00AC2DFB">
      <w:pPr>
        <w:pStyle w:val="ListParagraph"/>
        <w:numPr>
          <w:ilvl w:val="2"/>
          <w:numId w:val="4"/>
        </w:numPr>
      </w:pPr>
      <w:r w:rsidRPr="00FA34FF">
        <w:t>at</w:t>
      </w:r>
      <w:r w:rsidR="00364C5E">
        <w:t xml:space="preserve"> time of infection for cases</w:t>
      </w:r>
    </w:p>
    <w:p w14:paraId="6F588209" w14:textId="77777777" w:rsidR="00FA34FF" w:rsidRDefault="00E306A5" w:rsidP="00AC2DFB">
      <w:pPr>
        <w:pStyle w:val="ListParagraph"/>
        <w:numPr>
          <w:ilvl w:val="2"/>
          <w:numId w:val="4"/>
        </w:numPr>
      </w:pPr>
      <w:r>
        <w:t>at time of last continuous enrollment visit for controls</w:t>
      </w:r>
    </w:p>
    <w:p w14:paraId="31818649" w14:textId="77777777" w:rsidR="00583E8E" w:rsidRDefault="00583E8E" w:rsidP="00AC2DFB">
      <w:pPr>
        <w:pStyle w:val="ListParagraph"/>
        <w:numPr>
          <w:ilvl w:val="2"/>
          <w:numId w:val="4"/>
        </w:numPr>
      </w:pPr>
      <w:proofErr w:type="gramStart"/>
      <w:r>
        <w:t>current</w:t>
      </w:r>
      <w:proofErr w:type="gramEnd"/>
      <w:r>
        <w:t xml:space="preserve"> age for both?</w:t>
      </w:r>
    </w:p>
    <w:p w14:paraId="51097177" w14:textId="77777777" w:rsidR="00FA34FF" w:rsidRDefault="00FA34FF" w:rsidP="00AC2DFB">
      <w:pPr>
        <w:pStyle w:val="ListParagraph"/>
        <w:numPr>
          <w:ilvl w:val="1"/>
          <w:numId w:val="4"/>
        </w:numPr>
      </w:pPr>
      <w:r>
        <w:t>Gender</w:t>
      </w:r>
    </w:p>
    <w:p w14:paraId="7252BEFD" w14:textId="77777777" w:rsidR="00FA34FF" w:rsidRDefault="00FA34FF" w:rsidP="00AC2DFB">
      <w:pPr>
        <w:pStyle w:val="ListParagraph"/>
        <w:numPr>
          <w:ilvl w:val="1"/>
          <w:numId w:val="4"/>
        </w:numPr>
      </w:pPr>
      <w:r>
        <w:t>Race &amp; ethnicity</w:t>
      </w:r>
    </w:p>
    <w:p w14:paraId="6B75EB2A" w14:textId="77777777" w:rsidR="00E306A5" w:rsidRDefault="00E306A5" w:rsidP="00AC2DFB">
      <w:pPr>
        <w:pStyle w:val="ListParagraph"/>
        <w:numPr>
          <w:ilvl w:val="1"/>
          <w:numId w:val="4"/>
        </w:numPr>
      </w:pPr>
      <w:r>
        <w:t xml:space="preserve">optionally Home address (where allowed by IRB, for geocoding, or instead </w:t>
      </w:r>
      <w:proofErr w:type="spellStart"/>
      <w:r>
        <w:t>GeoID</w:t>
      </w:r>
      <w:proofErr w:type="spellEnd"/>
      <w:r>
        <w:t>)</w:t>
      </w:r>
    </w:p>
    <w:p w14:paraId="25CBA2D2" w14:textId="77777777" w:rsidR="00E306A5" w:rsidRDefault="00AC2DFB" w:rsidP="00AC2DFB">
      <w:pPr>
        <w:pStyle w:val="ListParagraph"/>
        <w:numPr>
          <w:ilvl w:val="0"/>
          <w:numId w:val="4"/>
        </w:numPr>
      </w:pPr>
      <w:commentRangeStart w:id="1"/>
      <w:r>
        <w:t xml:space="preserve">optionally, </w:t>
      </w:r>
      <w:r w:rsidR="00E306A5">
        <w:t xml:space="preserve">History </w:t>
      </w:r>
      <w:r w:rsidR="00CB70AC">
        <w:t xml:space="preserve">(y/n) </w:t>
      </w:r>
      <w:r w:rsidR="00E306A5">
        <w:t>or number of prior MRSA infections</w:t>
      </w:r>
      <w:r>
        <w:t xml:space="preserve">, for ex., using </w:t>
      </w:r>
      <w:r w:rsidR="00E306A5">
        <w:t xml:space="preserve">the line list from </w:t>
      </w:r>
      <w:bookmarkStart w:id="2" w:name="_GoBack"/>
      <w:bookmarkEnd w:id="2"/>
      <w:r w:rsidR="00E306A5">
        <w:t>infection control</w:t>
      </w:r>
    </w:p>
    <w:p w14:paraId="10320FCF" w14:textId="77777777" w:rsidR="00E306A5" w:rsidRDefault="00E306A5" w:rsidP="00AC2DFB">
      <w:pPr>
        <w:pStyle w:val="ListParagraph"/>
        <w:numPr>
          <w:ilvl w:val="0"/>
          <w:numId w:val="4"/>
        </w:numPr>
      </w:pPr>
      <w:r>
        <w:t>History of dialysis (y/n)</w:t>
      </w:r>
      <w:commentRangeEnd w:id="1"/>
      <w:r w:rsidR="00024E7E">
        <w:rPr>
          <w:rStyle w:val="CommentReference"/>
        </w:rPr>
        <w:commentReference w:id="1"/>
      </w:r>
    </w:p>
    <w:p w14:paraId="6B95308B" w14:textId="77777777" w:rsidR="00E306A5" w:rsidRDefault="00E306A5" w:rsidP="00AC2DFB">
      <w:pPr>
        <w:pStyle w:val="ListParagraph"/>
        <w:numPr>
          <w:ilvl w:val="0"/>
          <w:numId w:val="4"/>
        </w:numPr>
      </w:pPr>
      <w:r>
        <w:t>Diabetes status</w:t>
      </w:r>
      <w:r w:rsidR="00CB70AC">
        <w:t xml:space="preserve"> (y/n) </w:t>
      </w:r>
      <w:r w:rsidR="00722F8F">
        <w:t xml:space="preserve">: either </w:t>
      </w:r>
      <w:r>
        <w:t>type 1 or 2 diabetes mellitus, by T2DM algorithm</w:t>
      </w:r>
      <w:r w:rsidR="00722F8F">
        <w:t xml:space="preserve"> &amp;/or use 250.x ICD-9 codes</w:t>
      </w:r>
    </w:p>
    <w:p w14:paraId="124B3AFB" w14:textId="1B014F5A" w:rsidR="00C92CF9" w:rsidRPr="00A7163E" w:rsidRDefault="00C92CF9" w:rsidP="00C92CF9">
      <w:pPr>
        <w:pStyle w:val="ListParagraph"/>
        <w:numPr>
          <w:ilvl w:val="0"/>
          <w:numId w:val="4"/>
        </w:numPr>
      </w:pPr>
      <w:r w:rsidRPr="00C92CF9">
        <w:t xml:space="preserve">Where possible, also </w:t>
      </w:r>
      <w:r>
        <w:t>note</w:t>
      </w:r>
      <w:r w:rsidRPr="00C92CF9">
        <w:t xml:space="preserve"> prior stay in a long term care facility/nursing home in the last year before MRSA infection</w:t>
      </w:r>
      <w:r w:rsidRPr="00A7163E">
        <w:rPr>
          <w:vertAlign w:val="superscript"/>
        </w:rPr>
        <w:t>5</w:t>
      </w:r>
    </w:p>
    <w:p w14:paraId="7FDE31BF" w14:textId="77777777" w:rsidR="00A7163E" w:rsidRDefault="00A7163E" w:rsidP="00A7163E">
      <w:pPr>
        <w:pStyle w:val="ListParagraph"/>
      </w:pPr>
    </w:p>
    <w:p w14:paraId="6F6399C2" w14:textId="0F163639" w:rsidR="00A7163E" w:rsidRPr="00EA4DFC" w:rsidRDefault="007D7812" w:rsidP="00A7163E">
      <w:pPr>
        <w:pStyle w:val="ListParagraph"/>
        <w:numPr>
          <w:ilvl w:val="0"/>
          <w:numId w:val="6"/>
        </w:numPr>
      </w:pPr>
      <w:r>
        <w:rPr>
          <w:rFonts w:eastAsia="Times New Roman" w:cs="Times New Roman"/>
          <w:bCs/>
        </w:rPr>
        <w:t>Use whatever coded data you have to determine if in a nursing home, or use t</w:t>
      </w:r>
      <w:r w:rsidR="00A7163E" w:rsidRPr="00EA4DFC">
        <w:rPr>
          <w:rFonts w:eastAsia="Times New Roman" w:cs="Times New Roman"/>
          <w:bCs/>
        </w:rPr>
        <w:t>ext search for generic or proper names of area nursing homes, esp. within Social Work/case management notes, e.g.:</w:t>
      </w:r>
    </w:p>
    <w:p w14:paraId="5B0EAB20" w14:textId="77777777" w:rsidR="00A7163E" w:rsidRPr="00D7577C" w:rsidRDefault="00A7163E" w:rsidP="00A7163E">
      <w:pPr>
        <w:pStyle w:val="ListParagraph"/>
        <w:numPr>
          <w:ilvl w:val="0"/>
          <w:numId w:val="7"/>
        </w:numPr>
        <w:rPr>
          <w:rFonts w:eastAsia="Times New Roman" w:cs="Times New Roman"/>
          <w:bCs/>
        </w:rPr>
      </w:pPr>
      <w:r w:rsidRPr="00D7577C">
        <w:rPr>
          <w:rFonts w:eastAsia="Times New Roman" w:cs="Times New Roman"/>
          <w:bCs/>
        </w:rPr>
        <w:t>Generic names:</w:t>
      </w:r>
    </w:p>
    <w:p w14:paraId="5CC7CA02" w14:textId="77777777" w:rsidR="00A7163E" w:rsidRPr="00D7577C" w:rsidRDefault="00A7163E" w:rsidP="00A7163E">
      <w:pPr>
        <w:pStyle w:val="ListParagraph"/>
        <w:numPr>
          <w:ilvl w:val="1"/>
          <w:numId w:val="7"/>
        </w:numPr>
        <w:rPr>
          <w:rFonts w:eastAsia="Times New Roman" w:cs="Times New Roman"/>
          <w:bCs/>
        </w:rPr>
      </w:pPr>
      <w:r w:rsidRPr="00D7577C">
        <w:rPr>
          <w:rFonts w:eastAsia="Times New Roman" w:cs="Times New Roman"/>
          <w:bCs/>
        </w:rPr>
        <w:t>NH</w:t>
      </w:r>
    </w:p>
    <w:p w14:paraId="779D9154" w14:textId="77777777" w:rsidR="00A7163E" w:rsidRPr="00D7577C" w:rsidRDefault="00A7163E" w:rsidP="00A7163E">
      <w:pPr>
        <w:pStyle w:val="ListParagraph"/>
        <w:numPr>
          <w:ilvl w:val="1"/>
          <w:numId w:val="7"/>
        </w:numPr>
        <w:rPr>
          <w:rFonts w:eastAsia="Times New Roman" w:cs="Times New Roman"/>
          <w:bCs/>
        </w:rPr>
      </w:pPr>
      <w:r w:rsidRPr="00D7577C">
        <w:rPr>
          <w:rFonts w:eastAsia="Times New Roman" w:cs="Times New Roman"/>
          <w:bCs/>
        </w:rPr>
        <w:t>NSH</w:t>
      </w:r>
    </w:p>
    <w:p w14:paraId="72DD4537" w14:textId="77777777" w:rsidR="00A7163E" w:rsidRPr="00D7577C" w:rsidRDefault="00A7163E" w:rsidP="00A7163E">
      <w:pPr>
        <w:pStyle w:val="ListParagraph"/>
        <w:numPr>
          <w:ilvl w:val="1"/>
          <w:numId w:val="7"/>
        </w:numPr>
        <w:rPr>
          <w:rFonts w:eastAsia="Times New Roman" w:cs="Times New Roman"/>
          <w:bCs/>
        </w:rPr>
      </w:pPr>
      <w:r w:rsidRPr="00D7577C">
        <w:rPr>
          <w:rFonts w:eastAsia="Times New Roman" w:cs="Times New Roman"/>
          <w:bCs/>
        </w:rPr>
        <w:t>nursing home</w:t>
      </w:r>
    </w:p>
    <w:p w14:paraId="2DB53901" w14:textId="77777777" w:rsidR="00A7163E" w:rsidRPr="00D7577C" w:rsidRDefault="00A7163E" w:rsidP="00A7163E">
      <w:pPr>
        <w:pStyle w:val="ListParagraph"/>
        <w:numPr>
          <w:ilvl w:val="1"/>
          <w:numId w:val="7"/>
        </w:numPr>
        <w:rPr>
          <w:rFonts w:eastAsia="Times New Roman" w:cs="Times New Roman"/>
          <w:bCs/>
        </w:rPr>
      </w:pPr>
      <w:r w:rsidRPr="00D7577C">
        <w:rPr>
          <w:rFonts w:eastAsia="Times New Roman" w:cs="Times New Roman"/>
          <w:bCs/>
        </w:rPr>
        <w:t>SNF</w:t>
      </w:r>
    </w:p>
    <w:p w14:paraId="1C58B61B" w14:textId="77777777" w:rsidR="00A7163E" w:rsidRPr="00D7577C" w:rsidRDefault="00A7163E" w:rsidP="00A7163E">
      <w:pPr>
        <w:pStyle w:val="ListParagraph"/>
        <w:numPr>
          <w:ilvl w:val="1"/>
          <w:numId w:val="7"/>
        </w:numPr>
        <w:rPr>
          <w:rFonts w:eastAsia="Times New Roman" w:cs="Times New Roman"/>
          <w:bCs/>
        </w:rPr>
      </w:pPr>
      <w:r w:rsidRPr="00D7577C">
        <w:rPr>
          <w:rFonts w:eastAsia="Times New Roman" w:cs="Times New Roman"/>
          <w:bCs/>
        </w:rPr>
        <w:t>skilled nursing facility</w:t>
      </w:r>
    </w:p>
    <w:p w14:paraId="124EDC03" w14:textId="77777777" w:rsidR="00A7163E" w:rsidRPr="00D7577C" w:rsidRDefault="00A7163E" w:rsidP="00A7163E">
      <w:pPr>
        <w:pStyle w:val="ListParagraph"/>
        <w:numPr>
          <w:ilvl w:val="1"/>
          <w:numId w:val="7"/>
        </w:numPr>
        <w:rPr>
          <w:rFonts w:eastAsia="Times New Roman" w:cs="Times New Roman"/>
          <w:bCs/>
        </w:rPr>
      </w:pPr>
      <w:r w:rsidRPr="00D7577C">
        <w:rPr>
          <w:rFonts w:eastAsia="Times New Roman" w:cs="Times New Roman"/>
          <w:bCs/>
        </w:rPr>
        <w:t>Hospice</w:t>
      </w:r>
    </w:p>
    <w:p w14:paraId="765B2D63" w14:textId="77777777" w:rsidR="00A7163E" w:rsidRPr="00D7577C" w:rsidRDefault="00A7163E" w:rsidP="00A7163E">
      <w:pPr>
        <w:pStyle w:val="ListParagraph"/>
        <w:numPr>
          <w:ilvl w:val="1"/>
          <w:numId w:val="7"/>
        </w:numPr>
        <w:rPr>
          <w:rFonts w:eastAsia="Times New Roman" w:cs="Times New Roman"/>
          <w:bCs/>
        </w:rPr>
      </w:pPr>
      <w:r w:rsidRPr="00D7577C">
        <w:rPr>
          <w:rFonts w:eastAsia="Times New Roman" w:cs="Times New Roman"/>
          <w:bCs/>
        </w:rPr>
        <w:t>NHC</w:t>
      </w:r>
    </w:p>
    <w:p w14:paraId="22E9280D" w14:textId="77777777" w:rsidR="00A7163E" w:rsidRPr="00D7577C" w:rsidRDefault="00A7163E" w:rsidP="00A7163E">
      <w:pPr>
        <w:pStyle w:val="ListParagraph"/>
        <w:numPr>
          <w:ilvl w:val="0"/>
          <w:numId w:val="7"/>
        </w:numPr>
        <w:rPr>
          <w:rFonts w:eastAsia="Times New Roman" w:cs="Times New Roman"/>
          <w:bCs/>
        </w:rPr>
      </w:pPr>
      <w:r w:rsidRPr="00D7577C">
        <w:rPr>
          <w:rFonts w:eastAsia="Times New Roman" w:cs="Times New Roman"/>
          <w:bCs/>
        </w:rPr>
        <w:t>Proper names such as:</w:t>
      </w:r>
    </w:p>
    <w:p w14:paraId="65B24294" w14:textId="77777777" w:rsidR="00A7163E" w:rsidRPr="00D7577C" w:rsidRDefault="00A7163E" w:rsidP="00A7163E">
      <w:pPr>
        <w:pStyle w:val="ListParagraph"/>
        <w:numPr>
          <w:ilvl w:val="1"/>
          <w:numId w:val="7"/>
        </w:numPr>
        <w:rPr>
          <w:rFonts w:eastAsia="Times New Roman" w:cs="Times New Roman"/>
          <w:bCs/>
        </w:rPr>
      </w:pPr>
      <w:r w:rsidRPr="00D7577C">
        <w:rPr>
          <w:rFonts w:eastAsia="Times New Roman" w:cs="Times New Roman"/>
          <w:bCs/>
        </w:rPr>
        <w:t>Cumberland Manor,</w:t>
      </w:r>
    </w:p>
    <w:p w14:paraId="0C7F549E" w14:textId="77777777" w:rsidR="007D7812" w:rsidRPr="007D7812" w:rsidRDefault="00A7163E" w:rsidP="00A7163E">
      <w:pPr>
        <w:pStyle w:val="ListParagraph"/>
        <w:numPr>
          <w:ilvl w:val="1"/>
          <w:numId w:val="7"/>
        </w:numPr>
      </w:pPr>
      <w:r w:rsidRPr="006B6917">
        <w:rPr>
          <w:rFonts w:eastAsia="Times New Roman" w:cs="Times New Roman"/>
          <w:bCs/>
        </w:rPr>
        <w:t xml:space="preserve">Ida Culver House, </w:t>
      </w:r>
    </w:p>
    <w:p w14:paraId="5574351D" w14:textId="0BDDE122" w:rsidR="00500169" w:rsidRPr="00C27C3F" w:rsidRDefault="00A7163E" w:rsidP="00A7163E">
      <w:pPr>
        <w:pStyle w:val="ListParagraph"/>
        <w:numPr>
          <w:ilvl w:val="1"/>
          <w:numId w:val="7"/>
        </w:numPr>
      </w:pPr>
      <w:r w:rsidRPr="006B6917">
        <w:rPr>
          <w:rFonts w:eastAsia="Times New Roman" w:cs="Times New Roman"/>
          <w:bCs/>
        </w:rPr>
        <w:t>etc.</w:t>
      </w:r>
    </w:p>
    <w:sectPr w:rsidR="00500169" w:rsidRPr="00C27C3F" w:rsidSect="00D12BD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n" w:date="2015-01-27T13:57:00Z" w:initials="JAP">
    <w:p w14:paraId="662673AC" w14:textId="77777777" w:rsidR="00CF4C4D" w:rsidRDefault="00CF4C4D">
      <w:pPr>
        <w:pStyle w:val="CommentText"/>
      </w:pPr>
      <w:r>
        <w:rPr>
          <w:rStyle w:val="CommentReference"/>
        </w:rPr>
        <w:annotationRef/>
      </w:r>
      <w:r>
        <w:t xml:space="preserve">Nasal swabs are almost exclusively used for screening at </w:t>
      </w:r>
      <w:r w:rsidR="008552B5">
        <w:t>NU, so this was thrown out at NU</w:t>
      </w:r>
    </w:p>
  </w:comment>
  <w:comment w:id="1" w:author="jen" w:date="2015-01-27T13:57:00Z" w:initials="JAP">
    <w:p w14:paraId="6C307B07" w14:textId="77777777" w:rsidR="00024E7E" w:rsidRDefault="00024E7E">
      <w:pPr>
        <w:pStyle w:val="CommentText"/>
      </w:pPr>
      <w:r>
        <w:rPr>
          <w:rStyle w:val="CommentReference"/>
        </w:rPr>
        <w:annotationRef/>
      </w:r>
      <w:proofErr w:type="gramStart"/>
      <w:r>
        <w:t>optional</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673AC" w15:done="0"/>
  <w15:commentEx w15:paraId="6C307B0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C63"/>
    <w:multiLevelType w:val="hybridMultilevel"/>
    <w:tmpl w:val="0E04F594"/>
    <w:lvl w:ilvl="0" w:tplc="04090001">
      <w:start w:val="1"/>
      <w:numFmt w:val="bullet"/>
      <w:lvlText w:val=""/>
      <w:lvlJc w:val="left"/>
      <w:pPr>
        <w:ind w:left="1440" w:hanging="360"/>
      </w:pPr>
      <w:rPr>
        <w:rFonts w:ascii="Symbol" w:hAnsi="Symbol" w:hint="default"/>
      </w:rPr>
    </w:lvl>
    <w:lvl w:ilvl="1" w:tplc="EE585906">
      <w:numFmt w:val="bullet"/>
      <w:lvlText w:val="•"/>
      <w:lvlJc w:val="left"/>
      <w:pPr>
        <w:ind w:left="2520" w:hanging="72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306874"/>
    <w:multiLevelType w:val="hybridMultilevel"/>
    <w:tmpl w:val="E5F21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4B5862"/>
    <w:multiLevelType w:val="hybridMultilevel"/>
    <w:tmpl w:val="EBCC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775AC"/>
    <w:multiLevelType w:val="hybridMultilevel"/>
    <w:tmpl w:val="1B34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E6DB8"/>
    <w:multiLevelType w:val="hybridMultilevel"/>
    <w:tmpl w:val="EA7672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516B3724"/>
    <w:multiLevelType w:val="hybridMultilevel"/>
    <w:tmpl w:val="21B4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1497C"/>
    <w:multiLevelType w:val="hybridMultilevel"/>
    <w:tmpl w:val="D9308D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0434FC"/>
    <w:multiLevelType w:val="hybridMultilevel"/>
    <w:tmpl w:val="A95848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D9"/>
    <w:rsid w:val="00003F66"/>
    <w:rsid w:val="000162AA"/>
    <w:rsid w:val="00021708"/>
    <w:rsid w:val="00024E7E"/>
    <w:rsid w:val="00033781"/>
    <w:rsid w:val="0004429E"/>
    <w:rsid w:val="000458A6"/>
    <w:rsid w:val="000558C6"/>
    <w:rsid w:val="0006151B"/>
    <w:rsid w:val="00065552"/>
    <w:rsid w:val="00066DAB"/>
    <w:rsid w:val="00067514"/>
    <w:rsid w:val="000968CE"/>
    <w:rsid w:val="000B2226"/>
    <w:rsid w:val="000B4395"/>
    <w:rsid w:val="000B4633"/>
    <w:rsid w:val="000C60CC"/>
    <w:rsid w:val="000D02F3"/>
    <w:rsid w:val="0010349B"/>
    <w:rsid w:val="0011726E"/>
    <w:rsid w:val="00117D96"/>
    <w:rsid w:val="001260C8"/>
    <w:rsid w:val="001316E5"/>
    <w:rsid w:val="00134E22"/>
    <w:rsid w:val="00143409"/>
    <w:rsid w:val="001453C3"/>
    <w:rsid w:val="001478E8"/>
    <w:rsid w:val="0016598A"/>
    <w:rsid w:val="00166BD3"/>
    <w:rsid w:val="001876AD"/>
    <w:rsid w:val="001A0A3D"/>
    <w:rsid w:val="001A578E"/>
    <w:rsid w:val="001C7A1B"/>
    <w:rsid w:val="001E0AAE"/>
    <w:rsid w:val="00216AE8"/>
    <w:rsid w:val="00221801"/>
    <w:rsid w:val="00225668"/>
    <w:rsid w:val="00227457"/>
    <w:rsid w:val="00227ABD"/>
    <w:rsid w:val="00251D55"/>
    <w:rsid w:val="0025341C"/>
    <w:rsid w:val="00260E5E"/>
    <w:rsid w:val="00265207"/>
    <w:rsid w:val="00275180"/>
    <w:rsid w:val="002A12DD"/>
    <w:rsid w:val="002A299A"/>
    <w:rsid w:val="002A660D"/>
    <w:rsid w:val="002B50E2"/>
    <w:rsid w:val="002B6279"/>
    <w:rsid w:val="002C0CD3"/>
    <w:rsid w:val="002C3502"/>
    <w:rsid w:val="002D76B2"/>
    <w:rsid w:val="002E39F4"/>
    <w:rsid w:val="002F2689"/>
    <w:rsid w:val="002F4AC9"/>
    <w:rsid w:val="003313F0"/>
    <w:rsid w:val="003364F6"/>
    <w:rsid w:val="00337EA0"/>
    <w:rsid w:val="00341308"/>
    <w:rsid w:val="00344DC6"/>
    <w:rsid w:val="00347CCD"/>
    <w:rsid w:val="00360268"/>
    <w:rsid w:val="00364C5E"/>
    <w:rsid w:val="00370DD2"/>
    <w:rsid w:val="0037301F"/>
    <w:rsid w:val="00381122"/>
    <w:rsid w:val="00384DE7"/>
    <w:rsid w:val="00392F4E"/>
    <w:rsid w:val="003A03E2"/>
    <w:rsid w:val="003A1A8F"/>
    <w:rsid w:val="003A2A82"/>
    <w:rsid w:val="003A43C2"/>
    <w:rsid w:val="003A6C6F"/>
    <w:rsid w:val="003B1AA6"/>
    <w:rsid w:val="003B50D7"/>
    <w:rsid w:val="003B6D07"/>
    <w:rsid w:val="00407FB2"/>
    <w:rsid w:val="00411D2C"/>
    <w:rsid w:val="0042560E"/>
    <w:rsid w:val="00432439"/>
    <w:rsid w:val="00476679"/>
    <w:rsid w:val="00484BAE"/>
    <w:rsid w:val="00486504"/>
    <w:rsid w:val="004A251D"/>
    <w:rsid w:val="004B39DD"/>
    <w:rsid w:val="004D3BCF"/>
    <w:rsid w:val="004E31B9"/>
    <w:rsid w:val="004E4322"/>
    <w:rsid w:val="004E4785"/>
    <w:rsid w:val="004F1C70"/>
    <w:rsid w:val="004F5E7E"/>
    <w:rsid w:val="00500169"/>
    <w:rsid w:val="0050754D"/>
    <w:rsid w:val="005108B9"/>
    <w:rsid w:val="00523A07"/>
    <w:rsid w:val="00543E2E"/>
    <w:rsid w:val="005537E4"/>
    <w:rsid w:val="0055396B"/>
    <w:rsid w:val="005655A3"/>
    <w:rsid w:val="00570CD9"/>
    <w:rsid w:val="00583E8E"/>
    <w:rsid w:val="00585C77"/>
    <w:rsid w:val="0059201F"/>
    <w:rsid w:val="00593A33"/>
    <w:rsid w:val="005C60D4"/>
    <w:rsid w:val="005E0BCC"/>
    <w:rsid w:val="005F10B4"/>
    <w:rsid w:val="005F12E3"/>
    <w:rsid w:val="005F522A"/>
    <w:rsid w:val="006002D4"/>
    <w:rsid w:val="00603CAF"/>
    <w:rsid w:val="00621941"/>
    <w:rsid w:val="006316C5"/>
    <w:rsid w:val="00636341"/>
    <w:rsid w:val="006373BE"/>
    <w:rsid w:val="00655EAB"/>
    <w:rsid w:val="00667779"/>
    <w:rsid w:val="00672565"/>
    <w:rsid w:val="006B2157"/>
    <w:rsid w:val="006B2479"/>
    <w:rsid w:val="006B40C5"/>
    <w:rsid w:val="006B4385"/>
    <w:rsid w:val="006B6917"/>
    <w:rsid w:val="006C2D3F"/>
    <w:rsid w:val="006E26B0"/>
    <w:rsid w:val="007114B6"/>
    <w:rsid w:val="007200A7"/>
    <w:rsid w:val="00722F8F"/>
    <w:rsid w:val="0072418B"/>
    <w:rsid w:val="007516F2"/>
    <w:rsid w:val="00754357"/>
    <w:rsid w:val="00756D58"/>
    <w:rsid w:val="00763557"/>
    <w:rsid w:val="007647B2"/>
    <w:rsid w:val="00770C68"/>
    <w:rsid w:val="00787748"/>
    <w:rsid w:val="00796562"/>
    <w:rsid w:val="007A2775"/>
    <w:rsid w:val="007D6B12"/>
    <w:rsid w:val="007D7812"/>
    <w:rsid w:val="007F154D"/>
    <w:rsid w:val="007F628E"/>
    <w:rsid w:val="0080447A"/>
    <w:rsid w:val="0080547B"/>
    <w:rsid w:val="00806C67"/>
    <w:rsid w:val="00836CD5"/>
    <w:rsid w:val="00843D23"/>
    <w:rsid w:val="00845723"/>
    <w:rsid w:val="008552B5"/>
    <w:rsid w:val="00862D28"/>
    <w:rsid w:val="00873F01"/>
    <w:rsid w:val="0087685F"/>
    <w:rsid w:val="00877A5D"/>
    <w:rsid w:val="00892B68"/>
    <w:rsid w:val="0089390F"/>
    <w:rsid w:val="008A2F47"/>
    <w:rsid w:val="008A34A0"/>
    <w:rsid w:val="008A386B"/>
    <w:rsid w:val="008B35C8"/>
    <w:rsid w:val="008B3979"/>
    <w:rsid w:val="008B52D0"/>
    <w:rsid w:val="008C578E"/>
    <w:rsid w:val="008F69C1"/>
    <w:rsid w:val="009103CC"/>
    <w:rsid w:val="0092423E"/>
    <w:rsid w:val="009261B0"/>
    <w:rsid w:val="00942CB5"/>
    <w:rsid w:val="00945141"/>
    <w:rsid w:val="00947A50"/>
    <w:rsid w:val="00954EAD"/>
    <w:rsid w:val="00967ECB"/>
    <w:rsid w:val="00977D90"/>
    <w:rsid w:val="00980717"/>
    <w:rsid w:val="009813AB"/>
    <w:rsid w:val="00991F19"/>
    <w:rsid w:val="0099692B"/>
    <w:rsid w:val="009A1CAC"/>
    <w:rsid w:val="009A656C"/>
    <w:rsid w:val="009A65CA"/>
    <w:rsid w:val="009B003C"/>
    <w:rsid w:val="009C7D7B"/>
    <w:rsid w:val="009D16E3"/>
    <w:rsid w:val="009E1DDF"/>
    <w:rsid w:val="009E3A17"/>
    <w:rsid w:val="009E7289"/>
    <w:rsid w:val="009F0C23"/>
    <w:rsid w:val="00A05D53"/>
    <w:rsid w:val="00A1441B"/>
    <w:rsid w:val="00A15F48"/>
    <w:rsid w:val="00A26CC3"/>
    <w:rsid w:val="00A27FE3"/>
    <w:rsid w:val="00A3525E"/>
    <w:rsid w:val="00A36F84"/>
    <w:rsid w:val="00A506F7"/>
    <w:rsid w:val="00A6521D"/>
    <w:rsid w:val="00A7163E"/>
    <w:rsid w:val="00A90CA7"/>
    <w:rsid w:val="00A9323C"/>
    <w:rsid w:val="00A97388"/>
    <w:rsid w:val="00AA2BB5"/>
    <w:rsid w:val="00AB3AEC"/>
    <w:rsid w:val="00AC0F56"/>
    <w:rsid w:val="00AC2DFB"/>
    <w:rsid w:val="00AC4DB6"/>
    <w:rsid w:val="00AF44AB"/>
    <w:rsid w:val="00B2030D"/>
    <w:rsid w:val="00B26DC4"/>
    <w:rsid w:val="00B43D0D"/>
    <w:rsid w:val="00B43F52"/>
    <w:rsid w:val="00B57027"/>
    <w:rsid w:val="00B656BF"/>
    <w:rsid w:val="00B67978"/>
    <w:rsid w:val="00B753A3"/>
    <w:rsid w:val="00BA0AEF"/>
    <w:rsid w:val="00BA79F8"/>
    <w:rsid w:val="00BB0CFD"/>
    <w:rsid w:val="00BB4580"/>
    <w:rsid w:val="00BB7717"/>
    <w:rsid w:val="00BC2FDF"/>
    <w:rsid w:val="00BD47D0"/>
    <w:rsid w:val="00BE52D9"/>
    <w:rsid w:val="00BE7EA0"/>
    <w:rsid w:val="00BF0F62"/>
    <w:rsid w:val="00BF4EA3"/>
    <w:rsid w:val="00C2162E"/>
    <w:rsid w:val="00C22C7A"/>
    <w:rsid w:val="00C26607"/>
    <w:rsid w:val="00C27C3F"/>
    <w:rsid w:val="00C3126A"/>
    <w:rsid w:val="00C46E2F"/>
    <w:rsid w:val="00C51782"/>
    <w:rsid w:val="00C57B64"/>
    <w:rsid w:val="00C63A98"/>
    <w:rsid w:val="00C64037"/>
    <w:rsid w:val="00C80D0A"/>
    <w:rsid w:val="00C8176C"/>
    <w:rsid w:val="00C85E7C"/>
    <w:rsid w:val="00C91072"/>
    <w:rsid w:val="00C92CF9"/>
    <w:rsid w:val="00C94334"/>
    <w:rsid w:val="00CA008E"/>
    <w:rsid w:val="00CA19FE"/>
    <w:rsid w:val="00CA28CD"/>
    <w:rsid w:val="00CA55FC"/>
    <w:rsid w:val="00CA77D5"/>
    <w:rsid w:val="00CA7C7E"/>
    <w:rsid w:val="00CB70AC"/>
    <w:rsid w:val="00CC0F67"/>
    <w:rsid w:val="00CC4127"/>
    <w:rsid w:val="00CD3251"/>
    <w:rsid w:val="00CF1099"/>
    <w:rsid w:val="00CF2AA8"/>
    <w:rsid w:val="00CF4C4D"/>
    <w:rsid w:val="00D01D99"/>
    <w:rsid w:val="00D12BD4"/>
    <w:rsid w:val="00D27540"/>
    <w:rsid w:val="00D27C5B"/>
    <w:rsid w:val="00D50843"/>
    <w:rsid w:val="00D604DC"/>
    <w:rsid w:val="00D7212E"/>
    <w:rsid w:val="00D7577C"/>
    <w:rsid w:val="00D76ECF"/>
    <w:rsid w:val="00D81B92"/>
    <w:rsid w:val="00D8543A"/>
    <w:rsid w:val="00D9014C"/>
    <w:rsid w:val="00DE3E71"/>
    <w:rsid w:val="00DE61D4"/>
    <w:rsid w:val="00DE6D82"/>
    <w:rsid w:val="00DF3068"/>
    <w:rsid w:val="00DF38DB"/>
    <w:rsid w:val="00E00ACD"/>
    <w:rsid w:val="00E016B5"/>
    <w:rsid w:val="00E306A5"/>
    <w:rsid w:val="00E358A8"/>
    <w:rsid w:val="00E40693"/>
    <w:rsid w:val="00E70DBE"/>
    <w:rsid w:val="00E8485C"/>
    <w:rsid w:val="00EA0E7D"/>
    <w:rsid w:val="00EA4DFC"/>
    <w:rsid w:val="00EC50F6"/>
    <w:rsid w:val="00ED2047"/>
    <w:rsid w:val="00ED35F3"/>
    <w:rsid w:val="00ED793C"/>
    <w:rsid w:val="00F000A5"/>
    <w:rsid w:val="00F10A5C"/>
    <w:rsid w:val="00F3469F"/>
    <w:rsid w:val="00F4017A"/>
    <w:rsid w:val="00F57D18"/>
    <w:rsid w:val="00FA34FF"/>
    <w:rsid w:val="00FA42D1"/>
    <w:rsid w:val="00FB0D95"/>
    <w:rsid w:val="00FB2BEC"/>
    <w:rsid w:val="00FB3D05"/>
    <w:rsid w:val="00FD1A86"/>
    <w:rsid w:val="00FE1366"/>
    <w:rsid w:val="00FE6A3F"/>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3A3"/>
    <w:rPr>
      <w:sz w:val="16"/>
      <w:szCs w:val="16"/>
    </w:rPr>
  </w:style>
  <w:style w:type="paragraph" w:styleId="CommentText">
    <w:name w:val="annotation text"/>
    <w:basedOn w:val="Normal"/>
    <w:link w:val="CommentTextChar"/>
    <w:uiPriority w:val="99"/>
    <w:unhideWhenUsed/>
    <w:rsid w:val="00B753A3"/>
    <w:pPr>
      <w:spacing w:line="240" w:lineRule="auto"/>
    </w:pPr>
    <w:rPr>
      <w:sz w:val="20"/>
      <w:szCs w:val="20"/>
    </w:rPr>
  </w:style>
  <w:style w:type="character" w:customStyle="1" w:styleId="CommentTextChar">
    <w:name w:val="Comment Text Char"/>
    <w:basedOn w:val="DefaultParagraphFont"/>
    <w:link w:val="CommentText"/>
    <w:uiPriority w:val="99"/>
    <w:rsid w:val="00B753A3"/>
    <w:rPr>
      <w:sz w:val="20"/>
      <w:szCs w:val="20"/>
    </w:rPr>
  </w:style>
  <w:style w:type="paragraph" w:styleId="CommentSubject">
    <w:name w:val="annotation subject"/>
    <w:basedOn w:val="CommentText"/>
    <w:next w:val="CommentText"/>
    <w:link w:val="CommentSubjectChar"/>
    <w:uiPriority w:val="99"/>
    <w:semiHidden/>
    <w:unhideWhenUsed/>
    <w:rsid w:val="00B753A3"/>
    <w:rPr>
      <w:b/>
      <w:bCs/>
    </w:rPr>
  </w:style>
  <w:style w:type="character" w:customStyle="1" w:styleId="CommentSubjectChar">
    <w:name w:val="Comment Subject Char"/>
    <w:basedOn w:val="CommentTextChar"/>
    <w:link w:val="CommentSubject"/>
    <w:uiPriority w:val="99"/>
    <w:semiHidden/>
    <w:rsid w:val="00B753A3"/>
    <w:rPr>
      <w:b/>
      <w:bCs/>
      <w:sz w:val="20"/>
      <w:szCs w:val="20"/>
    </w:rPr>
  </w:style>
  <w:style w:type="paragraph" w:styleId="BalloonText">
    <w:name w:val="Balloon Text"/>
    <w:basedOn w:val="Normal"/>
    <w:link w:val="BalloonTextChar"/>
    <w:uiPriority w:val="99"/>
    <w:semiHidden/>
    <w:unhideWhenUsed/>
    <w:rsid w:val="00B7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A3"/>
    <w:rPr>
      <w:rFonts w:ascii="Tahoma" w:hAnsi="Tahoma" w:cs="Tahoma"/>
      <w:sz w:val="16"/>
      <w:szCs w:val="16"/>
    </w:rPr>
  </w:style>
  <w:style w:type="paragraph" w:styleId="PlainText">
    <w:name w:val="Plain Text"/>
    <w:basedOn w:val="Normal"/>
    <w:link w:val="PlainTextChar"/>
    <w:uiPriority w:val="99"/>
    <w:unhideWhenUsed/>
    <w:rsid w:val="00411D2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11D2C"/>
    <w:rPr>
      <w:rFonts w:ascii="Consolas" w:eastAsia="Times New Roman" w:hAnsi="Consolas" w:cs="Times New Roman"/>
      <w:sz w:val="21"/>
      <w:szCs w:val="21"/>
    </w:rPr>
  </w:style>
  <w:style w:type="paragraph" w:styleId="ListParagraph">
    <w:name w:val="List Paragraph"/>
    <w:basedOn w:val="Normal"/>
    <w:uiPriority w:val="34"/>
    <w:qFormat/>
    <w:rsid w:val="00500169"/>
    <w:pPr>
      <w:ind w:left="720"/>
      <w:contextualSpacing/>
    </w:pPr>
  </w:style>
  <w:style w:type="character" w:styleId="Hyperlink">
    <w:name w:val="Hyperlink"/>
    <w:basedOn w:val="DefaultParagraphFont"/>
    <w:uiPriority w:val="99"/>
    <w:unhideWhenUsed/>
    <w:rsid w:val="00585C77"/>
    <w:rPr>
      <w:color w:val="0000FF" w:themeColor="hyperlink"/>
      <w:u w:val="single"/>
    </w:rPr>
  </w:style>
  <w:style w:type="character" w:styleId="FollowedHyperlink">
    <w:name w:val="FollowedHyperlink"/>
    <w:basedOn w:val="DefaultParagraphFont"/>
    <w:uiPriority w:val="99"/>
    <w:semiHidden/>
    <w:unhideWhenUsed/>
    <w:rsid w:val="005C60D4"/>
    <w:rPr>
      <w:color w:val="800080" w:themeColor="followedHyperlink"/>
      <w:u w:val="single"/>
    </w:rPr>
  </w:style>
  <w:style w:type="paragraph" w:styleId="NormalWeb">
    <w:name w:val="Normal (Web)"/>
    <w:basedOn w:val="Normal"/>
    <w:uiPriority w:val="99"/>
    <w:unhideWhenUsed/>
    <w:rsid w:val="005F522A"/>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13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3A3"/>
    <w:rPr>
      <w:sz w:val="16"/>
      <w:szCs w:val="16"/>
    </w:rPr>
  </w:style>
  <w:style w:type="paragraph" w:styleId="CommentText">
    <w:name w:val="annotation text"/>
    <w:basedOn w:val="Normal"/>
    <w:link w:val="CommentTextChar"/>
    <w:uiPriority w:val="99"/>
    <w:unhideWhenUsed/>
    <w:rsid w:val="00B753A3"/>
    <w:pPr>
      <w:spacing w:line="240" w:lineRule="auto"/>
    </w:pPr>
    <w:rPr>
      <w:sz w:val="20"/>
      <w:szCs w:val="20"/>
    </w:rPr>
  </w:style>
  <w:style w:type="character" w:customStyle="1" w:styleId="CommentTextChar">
    <w:name w:val="Comment Text Char"/>
    <w:basedOn w:val="DefaultParagraphFont"/>
    <w:link w:val="CommentText"/>
    <w:uiPriority w:val="99"/>
    <w:rsid w:val="00B753A3"/>
    <w:rPr>
      <w:sz w:val="20"/>
      <w:szCs w:val="20"/>
    </w:rPr>
  </w:style>
  <w:style w:type="paragraph" w:styleId="CommentSubject">
    <w:name w:val="annotation subject"/>
    <w:basedOn w:val="CommentText"/>
    <w:next w:val="CommentText"/>
    <w:link w:val="CommentSubjectChar"/>
    <w:uiPriority w:val="99"/>
    <w:semiHidden/>
    <w:unhideWhenUsed/>
    <w:rsid w:val="00B753A3"/>
    <w:rPr>
      <w:b/>
      <w:bCs/>
    </w:rPr>
  </w:style>
  <w:style w:type="character" w:customStyle="1" w:styleId="CommentSubjectChar">
    <w:name w:val="Comment Subject Char"/>
    <w:basedOn w:val="CommentTextChar"/>
    <w:link w:val="CommentSubject"/>
    <w:uiPriority w:val="99"/>
    <w:semiHidden/>
    <w:rsid w:val="00B753A3"/>
    <w:rPr>
      <w:b/>
      <w:bCs/>
      <w:sz w:val="20"/>
      <w:szCs w:val="20"/>
    </w:rPr>
  </w:style>
  <w:style w:type="paragraph" w:styleId="BalloonText">
    <w:name w:val="Balloon Text"/>
    <w:basedOn w:val="Normal"/>
    <w:link w:val="BalloonTextChar"/>
    <w:uiPriority w:val="99"/>
    <w:semiHidden/>
    <w:unhideWhenUsed/>
    <w:rsid w:val="00B7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A3"/>
    <w:rPr>
      <w:rFonts w:ascii="Tahoma" w:hAnsi="Tahoma" w:cs="Tahoma"/>
      <w:sz w:val="16"/>
      <w:szCs w:val="16"/>
    </w:rPr>
  </w:style>
  <w:style w:type="paragraph" w:styleId="PlainText">
    <w:name w:val="Plain Text"/>
    <w:basedOn w:val="Normal"/>
    <w:link w:val="PlainTextChar"/>
    <w:uiPriority w:val="99"/>
    <w:unhideWhenUsed/>
    <w:rsid w:val="00411D2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11D2C"/>
    <w:rPr>
      <w:rFonts w:ascii="Consolas" w:eastAsia="Times New Roman" w:hAnsi="Consolas" w:cs="Times New Roman"/>
      <w:sz w:val="21"/>
      <w:szCs w:val="21"/>
    </w:rPr>
  </w:style>
  <w:style w:type="paragraph" w:styleId="ListParagraph">
    <w:name w:val="List Paragraph"/>
    <w:basedOn w:val="Normal"/>
    <w:uiPriority w:val="34"/>
    <w:qFormat/>
    <w:rsid w:val="00500169"/>
    <w:pPr>
      <w:ind w:left="720"/>
      <w:contextualSpacing/>
    </w:pPr>
  </w:style>
  <w:style w:type="character" w:styleId="Hyperlink">
    <w:name w:val="Hyperlink"/>
    <w:basedOn w:val="DefaultParagraphFont"/>
    <w:uiPriority w:val="99"/>
    <w:unhideWhenUsed/>
    <w:rsid w:val="00585C77"/>
    <w:rPr>
      <w:color w:val="0000FF" w:themeColor="hyperlink"/>
      <w:u w:val="single"/>
    </w:rPr>
  </w:style>
  <w:style w:type="character" w:styleId="FollowedHyperlink">
    <w:name w:val="FollowedHyperlink"/>
    <w:basedOn w:val="DefaultParagraphFont"/>
    <w:uiPriority w:val="99"/>
    <w:semiHidden/>
    <w:unhideWhenUsed/>
    <w:rsid w:val="005C60D4"/>
    <w:rPr>
      <w:color w:val="800080" w:themeColor="followedHyperlink"/>
      <w:u w:val="single"/>
    </w:rPr>
  </w:style>
  <w:style w:type="paragraph" w:styleId="NormalWeb">
    <w:name w:val="Normal (Web)"/>
    <w:basedOn w:val="Normal"/>
    <w:uiPriority w:val="99"/>
    <w:unhideWhenUsed/>
    <w:rsid w:val="005F522A"/>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13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0914">
      <w:bodyDiv w:val="1"/>
      <w:marLeft w:val="0"/>
      <w:marRight w:val="0"/>
      <w:marTop w:val="0"/>
      <w:marBottom w:val="0"/>
      <w:divBdr>
        <w:top w:val="none" w:sz="0" w:space="0" w:color="auto"/>
        <w:left w:val="none" w:sz="0" w:space="0" w:color="auto"/>
        <w:bottom w:val="none" w:sz="0" w:space="0" w:color="auto"/>
        <w:right w:val="none" w:sz="0" w:space="0" w:color="auto"/>
      </w:divBdr>
    </w:div>
    <w:div w:id="260603467">
      <w:bodyDiv w:val="1"/>
      <w:marLeft w:val="0"/>
      <w:marRight w:val="0"/>
      <w:marTop w:val="0"/>
      <w:marBottom w:val="0"/>
      <w:divBdr>
        <w:top w:val="none" w:sz="0" w:space="0" w:color="auto"/>
        <w:left w:val="none" w:sz="0" w:space="0" w:color="auto"/>
        <w:bottom w:val="none" w:sz="0" w:space="0" w:color="auto"/>
        <w:right w:val="none" w:sz="0" w:space="0" w:color="auto"/>
      </w:divBdr>
    </w:div>
    <w:div w:id="354120285">
      <w:bodyDiv w:val="1"/>
      <w:marLeft w:val="0"/>
      <w:marRight w:val="0"/>
      <w:marTop w:val="0"/>
      <w:marBottom w:val="0"/>
      <w:divBdr>
        <w:top w:val="none" w:sz="0" w:space="0" w:color="auto"/>
        <w:left w:val="none" w:sz="0" w:space="0" w:color="auto"/>
        <w:bottom w:val="none" w:sz="0" w:space="0" w:color="auto"/>
        <w:right w:val="none" w:sz="0" w:space="0" w:color="auto"/>
      </w:divBdr>
    </w:div>
    <w:div w:id="801970575">
      <w:bodyDiv w:val="1"/>
      <w:marLeft w:val="0"/>
      <w:marRight w:val="0"/>
      <w:marTop w:val="0"/>
      <w:marBottom w:val="0"/>
      <w:divBdr>
        <w:top w:val="none" w:sz="0" w:space="0" w:color="auto"/>
        <w:left w:val="none" w:sz="0" w:space="0" w:color="auto"/>
        <w:bottom w:val="none" w:sz="0" w:space="0" w:color="auto"/>
        <w:right w:val="none" w:sz="0" w:space="0" w:color="auto"/>
      </w:divBdr>
    </w:div>
    <w:div w:id="1050766673">
      <w:bodyDiv w:val="1"/>
      <w:marLeft w:val="0"/>
      <w:marRight w:val="0"/>
      <w:marTop w:val="0"/>
      <w:marBottom w:val="0"/>
      <w:divBdr>
        <w:top w:val="none" w:sz="0" w:space="0" w:color="auto"/>
        <w:left w:val="none" w:sz="0" w:space="0" w:color="auto"/>
        <w:bottom w:val="none" w:sz="0" w:space="0" w:color="auto"/>
        <w:right w:val="none" w:sz="0" w:space="0" w:color="auto"/>
      </w:divBdr>
    </w:div>
    <w:div w:id="1478917172">
      <w:bodyDiv w:val="1"/>
      <w:marLeft w:val="0"/>
      <w:marRight w:val="0"/>
      <w:marTop w:val="0"/>
      <w:marBottom w:val="0"/>
      <w:divBdr>
        <w:top w:val="none" w:sz="0" w:space="0" w:color="auto"/>
        <w:left w:val="none" w:sz="0" w:space="0" w:color="auto"/>
        <w:bottom w:val="none" w:sz="0" w:space="0" w:color="auto"/>
        <w:right w:val="none" w:sz="0" w:space="0" w:color="auto"/>
      </w:divBdr>
    </w:div>
    <w:div w:id="2049597976">
      <w:bodyDiv w:val="1"/>
      <w:marLeft w:val="4"/>
      <w:marRight w:val="4"/>
      <w:marTop w:val="4"/>
      <w:marBottom w:val="4"/>
      <w:divBdr>
        <w:top w:val="none" w:sz="0" w:space="0" w:color="auto"/>
        <w:left w:val="none" w:sz="0" w:space="0" w:color="auto"/>
        <w:bottom w:val="none" w:sz="0" w:space="0" w:color="auto"/>
        <w:right w:val="none" w:sz="0" w:space="0" w:color="auto"/>
      </w:divBdr>
      <w:divsChild>
        <w:div w:id="1118530324">
          <w:marLeft w:val="0"/>
          <w:marRight w:val="0"/>
          <w:marTop w:val="0"/>
          <w:marBottom w:val="0"/>
          <w:divBdr>
            <w:top w:val="none" w:sz="0" w:space="0" w:color="auto"/>
            <w:left w:val="none" w:sz="0" w:space="0" w:color="auto"/>
            <w:bottom w:val="none" w:sz="0" w:space="0" w:color="auto"/>
            <w:right w:val="none" w:sz="0" w:space="0" w:color="auto"/>
          </w:divBdr>
          <w:divsChild>
            <w:div w:id="1421876835">
              <w:marLeft w:val="0"/>
              <w:marRight w:val="0"/>
              <w:marTop w:val="0"/>
              <w:marBottom w:val="0"/>
              <w:divBdr>
                <w:top w:val="none" w:sz="0" w:space="0" w:color="auto"/>
                <w:left w:val="none" w:sz="0" w:space="0" w:color="auto"/>
                <w:bottom w:val="none" w:sz="0" w:space="0" w:color="auto"/>
                <w:right w:val="none" w:sz="0" w:space="0" w:color="auto"/>
              </w:divBdr>
              <w:divsChild>
                <w:div w:id="1743404862">
                  <w:marLeft w:val="0"/>
                  <w:marRight w:val="0"/>
                  <w:marTop w:val="0"/>
                  <w:marBottom w:val="180"/>
                  <w:divBdr>
                    <w:top w:val="none" w:sz="0" w:space="0" w:color="auto"/>
                    <w:left w:val="none" w:sz="0" w:space="0" w:color="auto"/>
                    <w:bottom w:val="none" w:sz="0" w:space="0" w:color="auto"/>
                    <w:right w:val="none" w:sz="0" w:space="0" w:color="auto"/>
                  </w:divBdr>
                  <w:divsChild>
                    <w:div w:id="967466080">
                      <w:marLeft w:val="0"/>
                      <w:marRight w:val="0"/>
                      <w:marTop w:val="0"/>
                      <w:marBottom w:val="0"/>
                      <w:divBdr>
                        <w:top w:val="none" w:sz="0" w:space="0" w:color="auto"/>
                        <w:left w:val="none" w:sz="0" w:space="0" w:color="auto"/>
                        <w:bottom w:val="none" w:sz="0" w:space="0" w:color="auto"/>
                        <w:right w:val="none" w:sz="0" w:space="0" w:color="auto"/>
                      </w:divBdr>
                      <w:divsChild>
                        <w:div w:id="365715624">
                          <w:marLeft w:val="0"/>
                          <w:marRight w:val="0"/>
                          <w:marTop w:val="0"/>
                          <w:marBottom w:val="0"/>
                          <w:divBdr>
                            <w:top w:val="none" w:sz="0" w:space="0" w:color="auto"/>
                            <w:left w:val="none" w:sz="0" w:space="0" w:color="auto"/>
                            <w:bottom w:val="none" w:sz="0" w:space="0" w:color="auto"/>
                            <w:right w:val="none" w:sz="0" w:space="0" w:color="auto"/>
                          </w:divBdr>
                          <w:divsChild>
                            <w:div w:id="11558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cdc.gov/eid/article/12/11/06-0190-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Kho</dc:creator>
  <cp:lastModifiedBy>Jennifer A. Pacheco</cp:lastModifiedBy>
  <cp:revision>4</cp:revision>
  <dcterms:created xsi:type="dcterms:W3CDTF">2015-05-20T00:54:00Z</dcterms:created>
  <dcterms:modified xsi:type="dcterms:W3CDTF">2015-06-01T22:55:00Z</dcterms:modified>
</cp:coreProperties>
</file>